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5C" w:rsidRPr="007B6667" w:rsidRDefault="00D24F72" w:rsidP="00EA7424">
      <w:pPr>
        <w:spacing w:beforeLines="50" w:before="120" w:afterLines="50" w:after="120" w:line="360" w:lineRule="auto"/>
        <w:jc w:val="center"/>
        <w:rPr>
          <w:rFonts w:eastAsia="標楷體"/>
          <w:b/>
          <w:sz w:val="32"/>
          <w:szCs w:val="32"/>
        </w:rPr>
      </w:pPr>
      <w:r w:rsidRPr="007B6667">
        <w:rPr>
          <w:rFonts w:eastAsia="標楷體"/>
          <w:b/>
          <w:sz w:val="32"/>
          <w:szCs w:val="32"/>
        </w:rPr>
        <w:t>兼顧環境流量之跨流域水資源運用</w:t>
      </w:r>
    </w:p>
    <w:tbl>
      <w:tblPr>
        <w:tblW w:w="0" w:type="auto"/>
        <w:jc w:val="center"/>
        <w:tblLook w:val="01E0" w:firstRow="1" w:lastRow="1" w:firstColumn="1" w:lastColumn="1" w:noHBand="0" w:noVBand="0"/>
      </w:tblPr>
      <w:tblGrid>
        <w:gridCol w:w="1134"/>
        <w:gridCol w:w="1134"/>
        <w:gridCol w:w="1134"/>
      </w:tblGrid>
      <w:tr w:rsidR="007E4B9C" w:rsidRPr="007B6667" w:rsidTr="00174310">
        <w:trPr>
          <w:jc w:val="center"/>
        </w:trPr>
        <w:tc>
          <w:tcPr>
            <w:tcW w:w="1134" w:type="dxa"/>
          </w:tcPr>
          <w:p w:rsidR="007E4B9C" w:rsidRPr="007B6667" w:rsidRDefault="007E4B9C" w:rsidP="00425B8E">
            <w:pPr>
              <w:spacing w:beforeLines="50" w:before="120" w:afterLines="100" w:after="240"/>
              <w:jc w:val="center"/>
              <w:rPr>
                <w:rFonts w:eastAsia="標楷體"/>
                <w:sz w:val="22"/>
                <w:szCs w:val="22"/>
              </w:rPr>
            </w:pPr>
            <w:r w:rsidRPr="006704FF">
              <w:rPr>
                <w:rFonts w:eastAsia="標楷體"/>
                <w:b/>
                <w:sz w:val="22"/>
                <w:szCs w:val="22"/>
              </w:rPr>
              <w:t>邱繼賢</w:t>
            </w:r>
            <w:r w:rsidRPr="007B6667">
              <w:rPr>
                <w:rFonts w:eastAsia="標楷體"/>
                <w:sz w:val="22"/>
                <w:szCs w:val="22"/>
                <w:vertAlign w:val="superscript"/>
              </w:rPr>
              <w:t>1</w:t>
            </w:r>
          </w:p>
        </w:tc>
        <w:tc>
          <w:tcPr>
            <w:tcW w:w="1134" w:type="dxa"/>
          </w:tcPr>
          <w:p w:rsidR="007E4B9C" w:rsidRPr="007B6667" w:rsidRDefault="007E4B9C" w:rsidP="00425B8E">
            <w:pPr>
              <w:spacing w:beforeLines="50" w:before="120" w:afterLines="100" w:after="240"/>
              <w:jc w:val="center"/>
              <w:rPr>
                <w:rFonts w:eastAsia="標楷體"/>
                <w:sz w:val="22"/>
                <w:szCs w:val="22"/>
              </w:rPr>
            </w:pPr>
            <w:r w:rsidRPr="006704FF">
              <w:rPr>
                <w:rFonts w:eastAsia="標楷體"/>
                <w:b/>
                <w:sz w:val="22"/>
                <w:szCs w:val="22"/>
              </w:rPr>
              <w:t>盧盈宏</w:t>
            </w:r>
            <w:r w:rsidR="00EA7424">
              <w:rPr>
                <w:rFonts w:eastAsia="標楷體"/>
                <w:sz w:val="22"/>
                <w:szCs w:val="22"/>
                <w:vertAlign w:val="superscript"/>
              </w:rPr>
              <w:t>1</w:t>
            </w:r>
          </w:p>
        </w:tc>
        <w:tc>
          <w:tcPr>
            <w:tcW w:w="1134" w:type="dxa"/>
          </w:tcPr>
          <w:p w:rsidR="007E4B9C" w:rsidRPr="007B6667" w:rsidRDefault="007E4B9C" w:rsidP="00425B8E">
            <w:pPr>
              <w:spacing w:beforeLines="50" w:before="120" w:afterLines="100" w:after="240"/>
              <w:jc w:val="center"/>
              <w:rPr>
                <w:rFonts w:eastAsia="標楷體"/>
                <w:sz w:val="22"/>
                <w:szCs w:val="22"/>
              </w:rPr>
            </w:pPr>
            <w:r w:rsidRPr="006704FF">
              <w:rPr>
                <w:rFonts w:eastAsia="標楷體"/>
                <w:b/>
                <w:sz w:val="22"/>
                <w:szCs w:val="22"/>
              </w:rPr>
              <w:t>孫建平</w:t>
            </w:r>
            <w:r w:rsidR="00EA7424">
              <w:rPr>
                <w:rFonts w:eastAsia="標楷體"/>
                <w:sz w:val="22"/>
                <w:szCs w:val="22"/>
                <w:vertAlign w:val="superscript"/>
              </w:rPr>
              <w:t>2</w:t>
            </w:r>
            <w:r w:rsidR="0003436B">
              <w:rPr>
                <w:rFonts w:eastAsia="標楷體" w:hint="eastAsia"/>
                <w:sz w:val="22"/>
                <w:szCs w:val="22"/>
                <w:vertAlign w:val="superscript"/>
              </w:rPr>
              <w:t>*</w:t>
            </w:r>
          </w:p>
        </w:tc>
      </w:tr>
    </w:tbl>
    <w:p w:rsidR="00691DEF" w:rsidRPr="006704FF" w:rsidRDefault="00691DEF" w:rsidP="00EA7424">
      <w:pPr>
        <w:ind w:leftChars="1100" w:left="2640"/>
        <w:rPr>
          <w:rFonts w:eastAsia="標楷體"/>
          <w:sz w:val="20"/>
          <w:szCs w:val="22"/>
        </w:rPr>
      </w:pPr>
      <w:r w:rsidRPr="006704FF">
        <w:rPr>
          <w:rFonts w:eastAsia="標楷體"/>
          <w:sz w:val="20"/>
          <w:szCs w:val="22"/>
        </w:rPr>
        <w:t>1.</w:t>
      </w:r>
      <w:r w:rsidRPr="006704FF">
        <w:rPr>
          <w:rFonts w:eastAsia="標楷體"/>
          <w:sz w:val="20"/>
          <w:szCs w:val="22"/>
        </w:rPr>
        <w:t>國立成功大學水利及海洋工程學系碩士</w:t>
      </w:r>
    </w:p>
    <w:p w:rsidR="00691DEF" w:rsidRPr="006704FF" w:rsidRDefault="00EA7424" w:rsidP="00EA7424">
      <w:pPr>
        <w:ind w:leftChars="1100" w:left="2640"/>
        <w:rPr>
          <w:rFonts w:eastAsia="標楷體"/>
          <w:sz w:val="20"/>
          <w:szCs w:val="22"/>
        </w:rPr>
      </w:pPr>
      <w:r>
        <w:rPr>
          <w:rFonts w:eastAsia="標楷體"/>
          <w:sz w:val="20"/>
          <w:szCs w:val="22"/>
        </w:rPr>
        <w:t>2</w:t>
      </w:r>
      <w:r w:rsidR="00691DEF" w:rsidRPr="006704FF">
        <w:rPr>
          <w:rFonts w:eastAsia="標楷體"/>
          <w:sz w:val="20"/>
          <w:szCs w:val="22"/>
        </w:rPr>
        <w:t>.</w:t>
      </w:r>
      <w:r w:rsidR="00691DEF" w:rsidRPr="006704FF">
        <w:rPr>
          <w:rFonts w:eastAsia="標楷體"/>
          <w:sz w:val="20"/>
          <w:szCs w:val="22"/>
        </w:rPr>
        <w:t>國立成功大學水利及海洋工程學系</w:t>
      </w:r>
      <w:r w:rsidR="007B6667" w:rsidRPr="006704FF">
        <w:rPr>
          <w:rFonts w:eastAsia="標楷體" w:hint="eastAsia"/>
          <w:sz w:val="20"/>
          <w:szCs w:val="22"/>
        </w:rPr>
        <w:t>副</w:t>
      </w:r>
      <w:r w:rsidR="00691DEF" w:rsidRPr="006704FF">
        <w:rPr>
          <w:rFonts w:eastAsia="標楷體"/>
          <w:sz w:val="20"/>
          <w:szCs w:val="22"/>
        </w:rPr>
        <w:t>教授</w:t>
      </w:r>
    </w:p>
    <w:p w:rsidR="0003436B" w:rsidRPr="006704FF" w:rsidRDefault="0003436B" w:rsidP="00EA7424">
      <w:pPr>
        <w:ind w:leftChars="1100" w:left="2640"/>
        <w:rPr>
          <w:rFonts w:eastAsia="標楷體"/>
          <w:sz w:val="20"/>
          <w:szCs w:val="22"/>
        </w:rPr>
      </w:pPr>
      <w:r w:rsidRPr="006704FF">
        <w:rPr>
          <w:rFonts w:eastAsia="標楷體" w:hint="eastAsia"/>
          <w:sz w:val="20"/>
          <w:szCs w:val="22"/>
        </w:rPr>
        <w:t>*.</w:t>
      </w:r>
      <w:r w:rsidRPr="006704FF">
        <w:rPr>
          <w:rFonts w:eastAsia="標楷體" w:hint="eastAsia"/>
          <w:sz w:val="20"/>
          <w:szCs w:val="22"/>
        </w:rPr>
        <w:t>臺南市東區大學路</w:t>
      </w:r>
      <w:r w:rsidRPr="006704FF">
        <w:rPr>
          <w:rFonts w:eastAsia="標楷體" w:hint="eastAsia"/>
          <w:sz w:val="20"/>
          <w:szCs w:val="22"/>
        </w:rPr>
        <w:t>1</w:t>
      </w:r>
      <w:r w:rsidRPr="006704FF">
        <w:rPr>
          <w:rFonts w:eastAsia="標楷體" w:hint="eastAsia"/>
          <w:sz w:val="20"/>
          <w:szCs w:val="22"/>
        </w:rPr>
        <w:t>號，</w:t>
      </w:r>
      <w:r w:rsidRPr="006704FF">
        <w:rPr>
          <w:rFonts w:eastAsia="標楷體" w:hint="eastAsia"/>
          <w:sz w:val="20"/>
          <w:szCs w:val="22"/>
        </w:rPr>
        <w:t>E</w:t>
      </w:r>
      <w:r w:rsidRPr="006704FF">
        <w:rPr>
          <w:rFonts w:eastAsia="標楷體"/>
          <w:sz w:val="20"/>
          <w:szCs w:val="22"/>
        </w:rPr>
        <w:t>mail: jpsuen@mail.ncku.edu.tw</w:t>
      </w:r>
      <w:bookmarkStart w:id="0" w:name="_GoBack"/>
      <w:bookmarkEnd w:id="0"/>
    </w:p>
    <w:p w:rsidR="00F36720" w:rsidRPr="007B6667" w:rsidRDefault="00F36720" w:rsidP="00425B8E">
      <w:pPr>
        <w:spacing w:beforeLines="100" w:before="240" w:afterLines="50" w:after="120"/>
        <w:jc w:val="center"/>
        <w:rPr>
          <w:rFonts w:eastAsia="標楷體"/>
          <w:b/>
          <w:sz w:val="22"/>
          <w:szCs w:val="22"/>
        </w:rPr>
      </w:pPr>
      <w:r w:rsidRPr="007B6667">
        <w:rPr>
          <w:rFonts w:eastAsia="標楷體"/>
          <w:b/>
          <w:sz w:val="22"/>
          <w:szCs w:val="22"/>
        </w:rPr>
        <w:t>摘要</w:t>
      </w:r>
    </w:p>
    <w:p w:rsidR="00691DEF" w:rsidRPr="007B6667" w:rsidRDefault="00691DEF" w:rsidP="00EA7424">
      <w:pPr>
        <w:spacing w:beforeLines="50" w:before="120" w:afterLines="50" w:after="120" w:line="360" w:lineRule="auto"/>
        <w:ind w:firstLineChars="200" w:firstLine="400"/>
        <w:jc w:val="both"/>
        <w:rPr>
          <w:rFonts w:eastAsia="標楷體"/>
          <w:sz w:val="20"/>
          <w:szCs w:val="20"/>
        </w:rPr>
      </w:pPr>
      <w:r w:rsidRPr="007B6667">
        <w:rPr>
          <w:rFonts w:eastAsia="標楷體"/>
          <w:sz w:val="20"/>
          <w:szCs w:val="20"/>
        </w:rPr>
        <w:t>本文以遺傳演算法模擬越域引水與水庫操作，同時併入引水比例與水庫蓄水量於遺傳演算法中搜尋最佳解，最佳化的目標包括：人類用水參考現行荖濃溪與曾文</w:t>
      </w:r>
      <w:r w:rsidR="003532F7" w:rsidRPr="007B6667">
        <w:rPr>
          <w:rFonts w:eastAsia="標楷體"/>
          <w:sz w:val="20"/>
          <w:szCs w:val="20"/>
        </w:rPr>
        <w:t>水庫各標的之計畫需水量，生態環境用水則以環境流態因子為評定標準</w:t>
      </w:r>
      <w:r w:rsidRPr="007B6667">
        <w:rPr>
          <w:rFonts w:eastAsia="標楷體"/>
          <w:sz w:val="20"/>
          <w:szCs w:val="20"/>
        </w:rPr>
        <w:t>，解集合中包括</w:t>
      </w:r>
      <w:r w:rsidRPr="007B6667">
        <w:rPr>
          <w:rFonts w:eastAsia="標楷體"/>
          <w:sz w:val="20"/>
          <w:szCs w:val="20"/>
        </w:rPr>
        <w:t>3</w:t>
      </w:r>
      <w:r w:rsidRPr="007B6667">
        <w:rPr>
          <w:rFonts w:eastAsia="標楷體"/>
          <w:sz w:val="20"/>
          <w:szCs w:val="20"/>
        </w:rPr>
        <w:t>個引水比例與</w:t>
      </w:r>
      <w:r w:rsidRPr="007B6667">
        <w:rPr>
          <w:rFonts w:eastAsia="標楷體"/>
          <w:sz w:val="20"/>
          <w:szCs w:val="20"/>
        </w:rPr>
        <w:t>36</w:t>
      </w:r>
      <w:r w:rsidRPr="007B6667">
        <w:rPr>
          <w:rFonts w:eastAsia="標楷體"/>
          <w:sz w:val="20"/>
          <w:szCs w:val="20"/>
        </w:rPr>
        <w:t>個水庫蓄水量共</w:t>
      </w:r>
      <w:r w:rsidRPr="007B6667">
        <w:rPr>
          <w:rFonts w:eastAsia="標楷體"/>
          <w:sz w:val="20"/>
          <w:szCs w:val="20"/>
        </w:rPr>
        <w:t>39</w:t>
      </w:r>
      <w:r w:rsidRPr="007B6667">
        <w:rPr>
          <w:rFonts w:eastAsia="標楷體"/>
          <w:sz w:val="20"/>
          <w:szCs w:val="20"/>
        </w:rPr>
        <w:t>個決策變數。結果平均年引水量為</w:t>
      </w:r>
      <w:r w:rsidRPr="007B6667">
        <w:rPr>
          <w:rFonts w:eastAsia="標楷體"/>
          <w:sz w:val="20"/>
          <w:szCs w:val="20"/>
        </w:rPr>
        <w:t>21</w:t>
      </w:r>
      <w:r w:rsidR="00C17D29" w:rsidRPr="007B6667">
        <w:rPr>
          <w:rFonts w:eastAsia="標楷體"/>
          <w:sz w:val="20"/>
          <w:szCs w:val="20"/>
        </w:rPr>
        <w:t>,</w:t>
      </w:r>
      <w:r w:rsidRPr="007B6667">
        <w:rPr>
          <w:rFonts w:eastAsia="標楷體"/>
          <w:sz w:val="20"/>
          <w:szCs w:val="20"/>
        </w:rPr>
        <w:t>434</w:t>
      </w:r>
      <w:r w:rsidRPr="007B6667">
        <w:rPr>
          <w:rFonts w:eastAsia="標楷體"/>
          <w:sz w:val="20"/>
          <w:szCs w:val="20"/>
        </w:rPr>
        <w:t>萬立方公尺，比原計畫引水量少</w:t>
      </w:r>
      <w:r w:rsidRPr="007B6667">
        <w:rPr>
          <w:rFonts w:eastAsia="標楷體"/>
          <w:sz w:val="20"/>
          <w:szCs w:val="20"/>
        </w:rPr>
        <w:t>623</w:t>
      </w:r>
      <w:r w:rsidRPr="007B6667">
        <w:rPr>
          <w:rFonts w:eastAsia="標楷體"/>
          <w:sz w:val="20"/>
          <w:szCs w:val="20"/>
        </w:rPr>
        <w:t>萬立方公尺，並且對荖濃溪人類用水、荖濃溪生態環境用水與曾文水庫生態環境用水都有顯著的改善。文中也給予各個最佳化目標不同權重分配之組合，觀察權重更動後各個最佳化目標的變化，結果顯示權重的變化可以大致反應於結果中。本文的最佳化模式可以提供做為水資源管理者於決策時的參考。</w:t>
      </w:r>
    </w:p>
    <w:p w:rsidR="00D24F72" w:rsidRPr="007B6667" w:rsidRDefault="00691DEF" w:rsidP="00EA7424">
      <w:pPr>
        <w:spacing w:beforeLines="50" w:before="120" w:afterLines="50" w:after="120"/>
        <w:ind w:left="794" w:hanging="794"/>
        <w:rPr>
          <w:rFonts w:eastAsia="標楷體"/>
          <w:sz w:val="20"/>
          <w:szCs w:val="20"/>
        </w:rPr>
      </w:pPr>
      <w:r w:rsidRPr="007B6667">
        <w:rPr>
          <w:rFonts w:eastAsia="標楷體"/>
          <w:sz w:val="20"/>
          <w:szCs w:val="20"/>
        </w:rPr>
        <w:t>關鍵詞：越域引水、水庫最佳化操作、跨流域水資源管理、自然流態、環境流態因子</w:t>
      </w:r>
    </w:p>
    <w:p w:rsidR="0003436B" w:rsidRDefault="0003436B" w:rsidP="00425B8E">
      <w:pPr>
        <w:spacing w:beforeLines="150" w:before="360" w:afterLines="50" w:after="120" w:line="360" w:lineRule="auto"/>
        <w:jc w:val="center"/>
        <w:rPr>
          <w:rFonts w:eastAsia="標楷體"/>
          <w:b/>
          <w:sz w:val="32"/>
          <w:szCs w:val="32"/>
        </w:rPr>
      </w:pPr>
      <w:r w:rsidRPr="007B6667">
        <w:rPr>
          <w:rFonts w:eastAsia="標楷體"/>
          <w:b/>
          <w:sz w:val="32"/>
          <w:szCs w:val="32"/>
        </w:rPr>
        <w:t>Incorporating Environmental Flows into Crossing-Basin Water Resource Operations</w:t>
      </w:r>
    </w:p>
    <w:tbl>
      <w:tblPr>
        <w:tblW w:w="0" w:type="auto"/>
        <w:jc w:val="center"/>
        <w:tblLook w:val="01E0" w:firstRow="1" w:lastRow="1" w:firstColumn="1" w:lastColumn="1" w:noHBand="0" w:noVBand="0"/>
      </w:tblPr>
      <w:tblGrid>
        <w:gridCol w:w="1701"/>
        <w:gridCol w:w="1701"/>
        <w:gridCol w:w="1701"/>
      </w:tblGrid>
      <w:tr w:rsidR="00BA0682" w:rsidRPr="007B6667" w:rsidTr="00EA7424">
        <w:trPr>
          <w:jc w:val="center"/>
        </w:trPr>
        <w:tc>
          <w:tcPr>
            <w:tcW w:w="1701" w:type="dxa"/>
          </w:tcPr>
          <w:p w:rsidR="00BA0682" w:rsidRPr="007B6667" w:rsidRDefault="00BA0682" w:rsidP="00425B8E">
            <w:pPr>
              <w:spacing w:beforeLines="50" w:before="120" w:afterLines="100" w:after="240"/>
              <w:jc w:val="center"/>
              <w:rPr>
                <w:rFonts w:eastAsia="標楷體"/>
                <w:sz w:val="22"/>
                <w:szCs w:val="22"/>
              </w:rPr>
            </w:pPr>
            <w:r w:rsidRPr="007B6667">
              <w:rPr>
                <w:rFonts w:eastAsia="標楷體"/>
                <w:sz w:val="22"/>
                <w:szCs w:val="22"/>
              </w:rPr>
              <w:t>Chi-</w:t>
            </w:r>
            <w:proofErr w:type="spellStart"/>
            <w:r w:rsidRPr="007B6667">
              <w:rPr>
                <w:rFonts w:eastAsia="標楷體"/>
                <w:sz w:val="22"/>
                <w:szCs w:val="22"/>
              </w:rPr>
              <w:t>Hsien</w:t>
            </w:r>
            <w:proofErr w:type="spellEnd"/>
            <w:r w:rsidRPr="007B6667">
              <w:rPr>
                <w:rFonts w:eastAsia="標楷體"/>
                <w:sz w:val="22"/>
                <w:szCs w:val="22"/>
              </w:rPr>
              <w:t xml:space="preserve"> Chiu</w:t>
            </w:r>
            <w:r w:rsidRPr="007B6667">
              <w:rPr>
                <w:rFonts w:eastAsia="標楷體"/>
                <w:sz w:val="22"/>
                <w:szCs w:val="22"/>
                <w:vertAlign w:val="superscript"/>
              </w:rPr>
              <w:t>1</w:t>
            </w:r>
          </w:p>
        </w:tc>
        <w:tc>
          <w:tcPr>
            <w:tcW w:w="1701" w:type="dxa"/>
          </w:tcPr>
          <w:p w:rsidR="00BA0682" w:rsidRPr="007B6667" w:rsidRDefault="00BA0682" w:rsidP="00425B8E">
            <w:pPr>
              <w:spacing w:beforeLines="50" w:before="120" w:afterLines="100" w:after="240"/>
              <w:jc w:val="center"/>
              <w:rPr>
                <w:rFonts w:eastAsia="標楷體"/>
                <w:sz w:val="22"/>
                <w:szCs w:val="22"/>
              </w:rPr>
            </w:pPr>
            <w:r w:rsidRPr="007B6667">
              <w:rPr>
                <w:rFonts w:eastAsia="標楷體"/>
                <w:sz w:val="22"/>
                <w:szCs w:val="22"/>
              </w:rPr>
              <w:t>Ying-Hung Lu</w:t>
            </w:r>
            <w:r w:rsidRPr="007B6667">
              <w:rPr>
                <w:rFonts w:eastAsia="標楷體"/>
                <w:sz w:val="22"/>
                <w:szCs w:val="22"/>
                <w:vertAlign w:val="superscript"/>
              </w:rPr>
              <w:t>2</w:t>
            </w:r>
          </w:p>
        </w:tc>
        <w:tc>
          <w:tcPr>
            <w:tcW w:w="1701" w:type="dxa"/>
          </w:tcPr>
          <w:p w:rsidR="00BA0682" w:rsidRPr="007B6667" w:rsidRDefault="00BA0682" w:rsidP="00425B8E">
            <w:pPr>
              <w:spacing w:beforeLines="50" w:before="120" w:afterLines="100" w:after="240"/>
              <w:jc w:val="center"/>
              <w:rPr>
                <w:rFonts w:eastAsia="標楷體"/>
                <w:sz w:val="22"/>
                <w:szCs w:val="22"/>
              </w:rPr>
            </w:pPr>
            <w:r w:rsidRPr="007B6667">
              <w:rPr>
                <w:rFonts w:eastAsia="標楷體"/>
                <w:sz w:val="22"/>
                <w:szCs w:val="22"/>
              </w:rPr>
              <w:t>Jian-Ping Suen</w:t>
            </w:r>
            <w:r w:rsidRPr="007B6667">
              <w:rPr>
                <w:rFonts w:eastAsia="標楷體"/>
                <w:sz w:val="22"/>
                <w:szCs w:val="22"/>
                <w:vertAlign w:val="superscript"/>
              </w:rPr>
              <w:t>3</w:t>
            </w:r>
          </w:p>
        </w:tc>
      </w:tr>
    </w:tbl>
    <w:p w:rsidR="00EA7424" w:rsidRPr="006704FF" w:rsidRDefault="00EA7424" w:rsidP="00244976">
      <w:pPr>
        <w:ind w:leftChars="295" w:left="708"/>
        <w:rPr>
          <w:rFonts w:eastAsia="標楷體"/>
          <w:sz w:val="20"/>
          <w:szCs w:val="22"/>
        </w:rPr>
      </w:pPr>
      <w:r w:rsidRPr="006704FF">
        <w:rPr>
          <w:rFonts w:eastAsia="標楷體"/>
          <w:sz w:val="20"/>
          <w:szCs w:val="22"/>
        </w:rPr>
        <w:t>1.</w:t>
      </w:r>
      <w:r w:rsidR="00244976">
        <w:rPr>
          <w:rFonts w:eastAsia="標楷體"/>
          <w:sz w:val="20"/>
          <w:szCs w:val="22"/>
        </w:rPr>
        <w:t xml:space="preserve"> </w:t>
      </w:r>
      <w:r>
        <w:rPr>
          <w:rFonts w:eastAsia="標楷體"/>
          <w:sz w:val="20"/>
          <w:szCs w:val="22"/>
        </w:rPr>
        <w:t>M</w:t>
      </w:r>
      <w:r w:rsidR="00244976">
        <w:rPr>
          <w:rFonts w:eastAsia="標楷體"/>
          <w:sz w:val="20"/>
          <w:szCs w:val="22"/>
        </w:rPr>
        <w:t>aster, Department of Hydraulic and Ocean Engineering, National Cheng Kung University</w:t>
      </w:r>
    </w:p>
    <w:p w:rsidR="00EA7424" w:rsidRPr="006704FF" w:rsidRDefault="00EA7424" w:rsidP="00244976">
      <w:pPr>
        <w:ind w:leftChars="295" w:left="708"/>
        <w:rPr>
          <w:rFonts w:eastAsia="標楷體"/>
          <w:sz w:val="20"/>
          <w:szCs w:val="22"/>
        </w:rPr>
      </w:pPr>
      <w:r>
        <w:rPr>
          <w:rFonts w:eastAsia="標楷體"/>
          <w:sz w:val="20"/>
          <w:szCs w:val="22"/>
        </w:rPr>
        <w:t>2</w:t>
      </w:r>
      <w:r w:rsidRPr="006704FF">
        <w:rPr>
          <w:rFonts w:eastAsia="標楷體"/>
          <w:sz w:val="20"/>
          <w:szCs w:val="22"/>
        </w:rPr>
        <w:t>.</w:t>
      </w:r>
      <w:r w:rsidR="00244976">
        <w:rPr>
          <w:rFonts w:eastAsia="標楷體"/>
          <w:sz w:val="20"/>
          <w:szCs w:val="22"/>
        </w:rPr>
        <w:t xml:space="preserve"> Associate Professor, Department of Hydraulic and Ocean Engineering, National Cheng Kung University</w:t>
      </w:r>
    </w:p>
    <w:p w:rsidR="00EA7424" w:rsidRPr="006704FF" w:rsidRDefault="00EA7424" w:rsidP="00244976">
      <w:pPr>
        <w:ind w:leftChars="295" w:left="708"/>
        <w:rPr>
          <w:rFonts w:eastAsia="標楷體"/>
          <w:sz w:val="20"/>
          <w:szCs w:val="22"/>
        </w:rPr>
      </w:pPr>
      <w:r w:rsidRPr="006704FF">
        <w:rPr>
          <w:rFonts w:eastAsia="標楷體" w:hint="eastAsia"/>
          <w:sz w:val="20"/>
          <w:szCs w:val="22"/>
        </w:rPr>
        <w:t>*.</w:t>
      </w:r>
      <w:r w:rsidR="00244976">
        <w:rPr>
          <w:rFonts w:eastAsia="標楷體"/>
          <w:sz w:val="20"/>
          <w:szCs w:val="22"/>
        </w:rPr>
        <w:t xml:space="preserve"> No. 1, University Road, Tainan, Taiwan, </w:t>
      </w:r>
      <w:r w:rsidR="00244976" w:rsidRPr="006704FF">
        <w:rPr>
          <w:rFonts w:eastAsia="標楷體" w:hint="eastAsia"/>
          <w:sz w:val="20"/>
          <w:szCs w:val="22"/>
        </w:rPr>
        <w:t>E</w:t>
      </w:r>
      <w:r w:rsidR="00244976" w:rsidRPr="006704FF">
        <w:rPr>
          <w:rFonts w:eastAsia="標楷體"/>
          <w:sz w:val="20"/>
          <w:szCs w:val="22"/>
        </w:rPr>
        <w:t>mail: jpsuen@mail.ncku.edu.tw</w:t>
      </w:r>
    </w:p>
    <w:p w:rsidR="00D24F72" w:rsidRPr="007B6667" w:rsidRDefault="003532F7" w:rsidP="00425B8E">
      <w:pPr>
        <w:spacing w:beforeLines="50" w:before="120" w:afterLines="50" w:after="120"/>
        <w:jc w:val="center"/>
        <w:rPr>
          <w:rFonts w:eastAsia="標楷體"/>
          <w:b/>
          <w:sz w:val="22"/>
          <w:szCs w:val="22"/>
        </w:rPr>
      </w:pPr>
      <w:r w:rsidRPr="007B6667">
        <w:rPr>
          <w:rFonts w:eastAsia="標楷體"/>
          <w:b/>
          <w:sz w:val="22"/>
          <w:szCs w:val="22"/>
        </w:rPr>
        <w:t>Abstract</w:t>
      </w:r>
    </w:p>
    <w:p w:rsidR="00A206B4" w:rsidRPr="007B6667" w:rsidRDefault="00A206B4" w:rsidP="00EA7424">
      <w:pPr>
        <w:spacing w:beforeLines="50" w:before="120" w:afterLines="50" w:after="120" w:line="360" w:lineRule="auto"/>
        <w:ind w:firstLineChars="200" w:firstLine="400"/>
        <w:jc w:val="both"/>
        <w:rPr>
          <w:rFonts w:eastAsia="標楷體"/>
          <w:sz w:val="20"/>
          <w:szCs w:val="20"/>
        </w:rPr>
      </w:pPr>
      <w:r w:rsidRPr="007B6667">
        <w:rPr>
          <w:rFonts w:eastAsia="標楷體"/>
          <w:sz w:val="20"/>
          <w:szCs w:val="20"/>
        </w:rPr>
        <w:t xml:space="preserve">Tseng-Wen Reservoir </w:t>
      </w:r>
      <w:proofErr w:type="spellStart"/>
      <w:r w:rsidRPr="007B6667">
        <w:rPr>
          <w:rFonts w:eastAsia="標楷體"/>
          <w:sz w:val="20"/>
          <w:szCs w:val="20"/>
        </w:rPr>
        <w:t>Transbasin</w:t>
      </w:r>
      <w:proofErr w:type="spellEnd"/>
      <w:r w:rsidRPr="007B6667">
        <w:rPr>
          <w:rFonts w:eastAsia="標楷體"/>
          <w:sz w:val="20"/>
          <w:szCs w:val="20"/>
        </w:rPr>
        <w:t xml:space="preserve"> Diversion </w:t>
      </w:r>
      <w:r w:rsidR="00DA4C5A" w:rsidRPr="007B6667">
        <w:rPr>
          <w:rFonts w:eastAsia="標楷體"/>
          <w:sz w:val="20"/>
          <w:szCs w:val="20"/>
        </w:rPr>
        <w:t xml:space="preserve">is studied </w:t>
      </w:r>
      <w:r w:rsidRPr="007B6667">
        <w:rPr>
          <w:rFonts w:eastAsia="標楷體"/>
          <w:sz w:val="20"/>
          <w:szCs w:val="20"/>
        </w:rPr>
        <w:t xml:space="preserve">by considering impacts on both water usage and environmental integrity simultaneously. This study attempts to provide management strategies on water diverting rate and 10 days reservoir operation for an optimal solution of both water usage of southern </w:t>
      </w:r>
      <w:smartTag w:uri="urn:schemas-microsoft-com:office:smarttags" w:element="country-region">
        <w:r w:rsidRPr="007B6667">
          <w:rPr>
            <w:rFonts w:eastAsia="標楷體"/>
            <w:sz w:val="20"/>
            <w:szCs w:val="20"/>
          </w:rPr>
          <w:t>Taiwan</w:t>
        </w:r>
      </w:smartTag>
      <w:r w:rsidRPr="007B6667">
        <w:rPr>
          <w:rFonts w:eastAsia="標楷體"/>
          <w:sz w:val="20"/>
          <w:szCs w:val="20"/>
        </w:rPr>
        <w:t xml:space="preserve"> and environmental integrity of </w:t>
      </w:r>
      <w:r w:rsidR="009042A3" w:rsidRPr="007B6667">
        <w:rPr>
          <w:rFonts w:eastAsia="標楷體"/>
          <w:sz w:val="20"/>
          <w:szCs w:val="20"/>
        </w:rPr>
        <w:t>Tseng-Wen</w:t>
      </w:r>
      <w:r w:rsidR="00DA4C5A" w:rsidRPr="007B6667">
        <w:rPr>
          <w:rFonts w:eastAsia="標楷體"/>
          <w:sz w:val="20"/>
          <w:szCs w:val="20"/>
        </w:rPr>
        <w:t xml:space="preserve"> and </w:t>
      </w:r>
      <w:proofErr w:type="spellStart"/>
      <w:smartTag w:uri="urn:schemas-microsoft-com:office:smarttags" w:element="place">
        <w:smartTag w:uri="urn:schemas-microsoft-com:office:smarttags" w:element="PlaceName">
          <w:r w:rsidR="009042A3" w:rsidRPr="007B6667">
            <w:rPr>
              <w:rFonts w:eastAsia="標楷體"/>
              <w:sz w:val="20"/>
              <w:szCs w:val="20"/>
            </w:rPr>
            <w:t>Launong</w:t>
          </w:r>
        </w:smartTag>
        <w:proofErr w:type="spellEnd"/>
        <w:r w:rsidRPr="007B6667">
          <w:rPr>
            <w:rFonts w:eastAsia="標楷體"/>
            <w:sz w:val="20"/>
            <w:szCs w:val="20"/>
          </w:rPr>
          <w:t xml:space="preserve"> </w:t>
        </w:r>
        <w:smartTag w:uri="urn:schemas-microsoft-com:office:smarttags" w:element="PlaceType">
          <w:r w:rsidR="00DA4C5A" w:rsidRPr="007B6667">
            <w:rPr>
              <w:rFonts w:eastAsia="標楷體"/>
              <w:sz w:val="20"/>
              <w:szCs w:val="20"/>
            </w:rPr>
            <w:t>R</w:t>
          </w:r>
          <w:r w:rsidRPr="007B6667">
            <w:rPr>
              <w:rFonts w:eastAsia="標楷體"/>
              <w:sz w:val="20"/>
              <w:szCs w:val="20"/>
            </w:rPr>
            <w:t>iver basins</w:t>
          </w:r>
        </w:smartTag>
      </w:smartTag>
      <w:r w:rsidRPr="007B6667">
        <w:rPr>
          <w:rFonts w:eastAsia="標楷體"/>
          <w:sz w:val="20"/>
          <w:szCs w:val="20"/>
        </w:rPr>
        <w:t xml:space="preserve"> by using genetic algorithm (GA). Historical flow data of </w:t>
      </w:r>
      <w:proofErr w:type="spellStart"/>
      <w:smartTag w:uri="urn:schemas-microsoft-com:office:smarttags" w:element="place">
        <w:smartTag w:uri="urn:schemas-microsoft-com:office:smarttags" w:element="PlaceName">
          <w:r w:rsidRPr="007B6667">
            <w:rPr>
              <w:rFonts w:eastAsia="標楷體"/>
              <w:sz w:val="20"/>
              <w:szCs w:val="20"/>
            </w:rPr>
            <w:t>Launong</w:t>
          </w:r>
        </w:smartTag>
        <w:proofErr w:type="spellEnd"/>
        <w:r w:rsidRPr="007B6667">
          <w:rPr>
            <w:rFonts w:eastAsia="標楷體"/>
            <w:sz w:val="20"/>
            <w:szCs w:val="20"/>
          </w:rPr>
          <w:t xml:space="preserve"> </w:t>
        </w:r>
        <w:smartTag w:uri="urn:schemas-microsoft-com:office:smarttags" w:element="PlaceType">
          <w:r w:rsidRPr="007B6667">
            <w:rPr>
              <w:rFonts w:eastAsia="標楷體"/>
              <w:sz w:val="20"/>
              <w:szCs w:val="20"/>
            </w:rPr>
            <w:t>River</w:t>
          </w:r>
        </w:smartTag>
      </w:smartTag>
      <w:r w:rsidRPr="007B6667">
        <w:rPr>
          <w:rFonts w:eastAsia="標楷體"/>
          <w:sz w:val="20"/>
          <w:szCs w:val="20"/>
        </w:rPr>
        <w:t xml:space="preserve"> and </w:t>
      </w:r>
      <w:r w:rsidR="009042A3" w:rsidRPr="007B6667">
        <w:rPr>
          <w:rFonts w:eastAsia="標楷體"/>
          <w:sz w:val="20"/>
          <w:szCs w:val="20"/>
        </w:rPr>
        <w:t>Tseng-Wen</w:t>
      </w:r>
      <w:r w:rsidRPr="007B6667">
        <w:rPr>
          <w:rFonts w:eastAsia="標楷體"/>
          <w:sz w:val="20"/>
          <w:szCs w:val="20"/>
        </w:rPr>
        <w:t xml:space="preserve"> Reservoir from 1975 to 1998 were compiled into six indices for the GA simulations with their associated weights. The GA simulation results show that the optimal water diversion is 0.05 of the low flow (flow less than 20 million cubic meter/10 days), adding 0.39 of the median flow (flow between 20 million and 100 million cubic meter/10 days), and adding 0.37 of the high flow (flow between 100 million and 200 million cubic meter</w:t>
      </w:r>
      <w:r w:rsidR="0003436B">
        <w:rPr>
          <w:rFonts w:eastAsia="標楷體"/>
          <w:sz w:val="20"/>
          <w:szCs w:val="20"/>
        </w:rPr>
        <w:t xml:space="preserve"> </w:t>
      </w:r>
      <w:r w:rsidRPr="007B6667">
        <w:rPr>
          <w:rFonts w:eastAsia="標楷體"/>
          <w:sz w:val="20"/>
          <w:szCs w:val="20"/>
        </w:rPr>
        <w:t>/10 days). If the flow were more (over 200 million cubic meter</w:t>
      </w:r>
      <w:r w:rsidR="0003436B">
        <w:rPr>
          <w:rFonts w:eastAsia="標楷體"/>
          <w:sz w:val="20"/>
          <w:szCs w:val="20"/>
        </w:rPr>
        <w:t xml:space="preserve"> </w:t>
      </w:r>
      <w:r w:rsidRPr="007B6667">
        <w:rPr>
          <w:rFonts w:eastAsia="標楷體"/>
          <w:sz w:val="20"/>
          <w:szCs w:val="20"/>
        </w:rPr>
        <w:t xml:space="preserve">/10 days). Under this optimal operation, the results of the water deficiency at </w:t>
      </w:r>
      <w:proofErr w:type="spellStart"/>
      <w:smartTag w:uri="urn:schemas-microsoft-com:office:smarttags" w:element="PlaceName">
        <w:r w:rsidRPr="007B6667">
          <w:rPr>
            <w:rFonts w:eastAsia="標楷體"/>
            <w:sz w:val="20"/>
            <w:szCs w:val="20"/>
          </w:rPr>
          <w:t>Launong</w:t>
        </w:r>
      </w:smartTag>
      <w:proofErr w:type="spellEnd"/>
      <w:r w:rsidRPr="007B6667">
        <w:rPr>
          <w:rFonts w:eastAsia="標楷體"/>
          <w:sz w:val="20"/>
          <w:szCs w:val="20"/>
        </w:rPr>
        <w:t xml:space="preserve"> River, and the environmental integrity at </w:t>
      </w:r>
      <w:proofErr w:type="spellStart"/>
      <w:smartTag w:uri="urn:schemas-microsoft-com:office:smarttags" w:element="place">
        <w:smartTag w:uri="urn:schemas-microsoft-com:office:smarttags" w:element="PlaceName">
          <w:r w:rsidRPr="007B6667">
            <w:rPr>
              <w:rFonts w:eastAsia="標楷體"/>
              <w:sz w:val="20"/>
              <w:szCs w:val="20"/>
            </w:rPr>
            <w:t>Launong</w:t>
          </w:r>
        </w:smartTag>
        <w:proofErr w:type="spellEnd"/>
        <w:r w:rsidRPr="007B6667">
          <w:rPr>
            <w:rFonts w:eastAsia="標楷體"/>
            <w:sz w:val="20"/>
            <w:szCs w:val="20"/>
          </w:rPr>
          <w:t xml:space="preserve"> </w:t>
        </w:r>
        <w:smartTag w:uri="urn:schemas-microsoft-com:office:smarttags" w:element="PlaceType">
          <w:r w:rsidRPr="007B6667">
            <w:rPr>
              <w:rFonts w:eastAsia="標楷體"/>
              <w:sz w:val="20"/>
              <w:szCs w:val="20"/>
            </w:rPr>
            <w:t>River</w:t>
          </w:r>
        </w:smartTag>
      </w:smartTag>
      <w:r w:rsidRPr="007B6667">
        <w:rPr>
          <w:rFonts w:eastAsia="標楷體"/>
          <w:sz w:val="20"/>
          <w:szCs w:val="20"/>
        </w:rPr>
        <w:t xml:space="preserve"> and Tseng-Wen Reservoir are better than the original plan.</w:t>
      </w:r>
    </w:p>
    <w:p w:rsidR="00D24F72" w:rsidRPr="007B6667" w:rsidRDefault="00A206B4" w:rsidP="00425B8E">
      <w:pPr>
        <w:spacing w:beforeLines="50" w:before="120" w:afterLines="50" w:after="120" w:line="360" w:lineRule="auto"/>
        <w:ind w:left="936" w:hanging="936"/>
        <w:rPr>
          <w:rFonts w:eastAsia="標楷體"/>
          <w:sz w:val="20"/>
          <w:szCs w:val="20"/>
        </w:rPr>
      </w:pPr>
      <w:r w:rsidRPr="007B6667">
        <w:rPr>
          <w:rFonts w:eastAsia="標楷體"/>
          <w:sz w:val="20"/>
          <w:szCs w:val="20"/>
        </w:rPr>
        <w:t xml:space="preserve">Keywords: Reservoir </w:t>
      </w:r>
      <w:proofErr w:type="spellStart"/>
      <w:r w:rsidRPr="007B6667">
        <w:rPr>
          <w:rFonts w:eastAsia="標楷體"/>
          <w:sz w:val="20"/>
          <w:szCs w:val="20"/>
        </w:rPr>
        <w:t>Transbasin</w:t>
      </w:r>
      <w:proofErr w:type="spellEnd"/>
      <w:r w:rsidRPr="007B6667">
        <w:rPr>
          <w:rFonts w:eastAsia="標楷體"/>
          <w:sz w:val="20"/>
          <w:szCs w:val="20"/>
        </w:rPr>
        <w:t xml:space="preserve"> Diversion, Optimal reservoir operation, Crossing</w:t>
      </w:r>
      <w:r w:rsidR="00BA0682">
        <w:rPr>
          <w:rFonts w:eastAsia="標楷體"/>
          <w:sz w:val="20"/>
          <w:szCs w:val="20"/>
        </w:rPr>
        <w:t>-</w:t>
      </w:r>
      <w:r w:rsidRPr="007B6667">
        <w:rPr>
          <w:rFonts w:eastAsia="標楷體"/>
          <w:sz w:val="20"/>
          <w:szCs w:val="20"/>
        </w:rPr>
        <w:t>basin water resource operations, Natural flow regime</w:t>
      </w:r>
      <w:r w:rsidR="009632E3" w:rsidRPr="007B6667">
        <w:rPr>
          <w:rFonts w:eastAsia="標楷體"/>
          <w:sz w:val="20"/>
          <w:szCs w:val="20"/>
        </w:rPr>
        <w:t>, Environmental flow components</w:t>
      </w:r>
    </w:p>
    <w:p w:rsidR="009632E3" w:rsidRPr="007B6667" w:rsidRDefault="009632E3" w:rsidP="007B6667">
      <w:pPr>
        <w:spacing w:beforeLines="50" w:before="120"/>
        <w:ind w:left="900" w:hangingChars="450" w:hanging="900"/>
        <w:rPr>
          <w:rFonts w:eastAsia="標楷體"/>
          <w:sz w:val="20"/>
          <w:szCs w:val="20"/>
        </w:rPr>
      </w:pPr>
    </w:p>
    <w:p w:rsidR="009632E3" w:rsidRPr="007B6667" w:rsidRDefault="009632E3" w:rsidP="007B6667">
      <w:pPr>
        <w:spacing w:beforeLines="50" w:before="120"/>
        <w:ind w:firstLineChars="200" w:firstLine="400"/>
        <w:jc w:val="both"/>
        <w:rPr>
          <w:rFonts w:eastAsia="標楷體"/>
          <w:sz w:val="20"/>
          <w:szCs w:val="20"/>
        </w:rPr>
        <w:sectPr w:rsidR="009632E3" w:rsidRPr="007B6667" w:rsidSect="0003436B">
          <w:headerReference w:type="first" r:id="rId8"/>
          <w:pgSz w:w="11906" w:h="16838" w:code="9"/>
          <w:pgMar w:top="1134" w:right="1134" w:bottom="1247" w:left="1134" w:header="425" w:footer="992" w:gutter="0"/>
          <w:cols w:space="720"/>
          <w:titlePg/>
          <w:docGrid w:linePitch="360"/>
        </w:sectPr>
      </w:pPr>
    </w:p>
    <w:p w:rsidR="009632E3" w:rsidRPr="0020109F" w:rsidRDefault="00322A1F" w:rsidP="0020109F">
      <w:pPr>
        <w:pStyle w:val="a8"/>
        <w:numPr>
          <w:ilvl w:val="0"/>
          <w:numId w:val="5"/>
        </w:numPr>
        <w:spacing w:beforeLines="50" w:before="120"/>
        <w:ind w:leftChars="0"/>
        <w:jc w:val="center"/>
        <w:rPr>
          <w:rFonts w:eastAsia="標楷體"/>
          <w:b/>
          <w:sz w:val="22"/>
        </w:rPr>
      </w:pPr>
      <w:r w:rsidRPr="0020109F">
        <w:rPr>
          <w:rFonts w:eastAsia="標楷體"/>
          <w:b/>
          <w:sz w:val="22"/>
        </w:rPr>
        <w:lastRenderedPageBreak/>
        <w:t>前言</w:t>
      </w:r>
    </w:p>
    <w:p w:rsidR="009632E3" w:rsidRPr="007B6667" w:rsidRDefault="007B7FEE" w:rsidP="007B6667">
      <w:pPr>
        <w:spacing w:beforeLines="50" w:before="120"/>
        <w:ind w:firstLineChars="200" w:firstLine="400"/>
        <w:jc w:val="both"/>
        <w:rPr>
          <w:rFonts w:eastAsia="標楷體"/>
          <w:sz w:val="20"/>
          <w:szCs w:val="20"/>
        </w:rPr>
      </w:pPr>
      <w:r w:rsidRPr="007B6667">
        <w:rPr>
          <w:rFonts w:eastAsia="標楷體"/>
          <w:sz w:val="20"/>
          <w:szCs w:val="20"/>
        </w:rPr>
        <w:t>為因應台灣南部地區民國</w:t>
      </w:r>
      <w:r w:rsidRPr="007B6667">
        <w:rPr>
          <w:rFonts w:eastAsia="標楷體"/>
          <w:sz w:val="20"/>
          <w:szCs w:val="20"/>
        </w:rPr>
        <w:t>110</w:t>
      </w:r>
      <w:r w:rsidRPr="007B6667">
        <w:rPr>
          <w:rFonts w:eastAsia="標楷體"/>
          <w:sz w:val="20"/>
          <w:szCs w:val="20"/>
        </w:rPr>
        <w:t>年之用水需求，水利署於高雄縣進行攔河堰越域引水工程，計畫於完工之後引取荖濃溪水源至曾文水庫存放並分配運用。引水原則是於豐水期</w:t>
      </w:r>
      <w:r w:rsidRPr="007B6667">
        <w:rPr>
          <w:rFonts w:eastAsia="標楷體"/>
          <w:sz w:val="20"/>
          <w:szCs w:val="20"/>
        </w:rPr>
        <w:t>(5~10</w:t>
      </w:r>
      <w:r w:rsidRPr="007B6667">
        <w:rPr>
          <w:rFonts w:eastAsia="標楷體"/>
          <w:sz w:val="20"/>
          <w:szCs w:val="20"/>
        </w:rPr>
        <w:t>月</w:t>
      </w:r>
      <w:r w:rsidRPr="007B6667">
        <w:rPr>
          <w:rFonts w:eastAsia="標楷體"/>
          <w:sz w:val="20"/>
          <w:szCs w:val="20"/>
        </w:rPr>
        <w:t>)</w:t>
      </w:r>
      <w:r w:rsidRPr="007B6667">
        <w:rPr>
          <w:rFonts w:eastAsia="標楷體"/>
          <w:sz w:val="20"/>
          <w:szCs w:val="20"/>
        </w:rPr>
        <w:t>引取高屏溪上游荖濃溪河川之多餘水量至曾文水庫調蓄運用，引水量約佔堰址處豐水期流量</w:t>
      </w:r>
      <w:r w:rsidRPr="007B6667">
        <w:rPr>
          <w:rFonts w:eastAsia="標楷體"/>
          <w:sz w:val="20"/>
          <w:szCs w:val="20"/>
        </w:rPr>
        <w:t>22.4%</w:t>
      </w:r>
      <w:r w:rsidRPr="007B6667">
        <w:rPr>
          <w:rFonts w:eastAsia="標楷體"/>
          <w:sz w:val="20"/>
          <w:szCs w:val="20"/>
        </w:rPr>
        <w:t>，佔高屏溪流域豐水期流量約</w:t>
      </w:r>
      <w:r w:rsidRPr="007B6667">
        <w:rPr>
          <w:rFonts w:eastAsia="標楷體"/>
          <w:sz w:val="20"/>
          <w:szCs w:val="20"/>
        </w:rPr>
        <w:t>2.7%(</w:t>
      </w:r>
      <w:r w:rsidRPr="007B6667">
        <w:rPr>
          <w:rFonts w:eastAsia="標楷體"/>
          <w:sz w:val="20"/>
          <w:szCs w:val="20"/>
        </w:rPr>
        <w:t>台灣省水利處，</w:t>
      </w:r>
      <w:r w:rsidRPr="007B6667">
        <w:rPr>
          <w:rFonts w:eastAsia="標楷體"/>
          <w:sz w:val="20"/>
          <w:szCs w:val="20"/>
        </w:rPr>
        <w:t>1997)</w:t>
      </w:r>
      <w:r w:rsidRPr="007B6667">
        <w:rPr>
          <w:rFonts w:eastAsia="標楷體"/>
          <w:sz w:val="20"/>
          <w:szCs w:val="20"/>
        </w:rPr>
        <w:t>，該開發計畫表示對高屏溪下游流量影響甚微。但該計畫也引發環保團體高度關切，自提出計畫至施作工程期間批評聲浪不斷，認為將破壞高屏溪之生態環境。</w:t>
      </w:r>
    </w:p>
    <w:p w:rsidR="009632E3" w:rsidRPr="007B6667" w:rsidRDefault="007B7FEE" w:rsidP="007B6667">
      <w:pPr>
        <w:spacing w:beforeLines="50" w:before="120"/>
        <w:ind w:firstLineChars="200" w:firstLine="400"/>
        <w:jc w:val="both"/>
        <w:rPr>
          <w:rFonts w:eastAsia="標楷體"/>
          <w:sz w:val="20"/>
          <w:szCs w:val="20"/>
        </w:rPr>
      </w:pPr>
      <w:r w:rsidRPr="007B6667">
        <w:rPr>
          <w:rFonts w:eastAsia="標楷體"/>
          <w:sz w:val="20"/>
          <w:szCs w:val="20"/>
        </w:rPr>
        <w:t>在「曾文水庫越域引水可行性規劃專題報告</w:t>
      </w:r>
      <w:r w:rsidRPr="007B6667">
        <w:rPr>
          <w:rFonts w:eastAsia="標楷體"/>
          <w:sz w:val="20"/>
          <w:szCs w:val="20"/>
        </w:rPr>
        <w:t>(</w:t>
      </w:r>
      <w:r w:rsidRPr="007B6667">
        <w:rPr>
          <w:rFonts w:eastAsia="標楷體"/>
          <w:sz w:val="20"/>
          <w:szCs w:val="20"/>
        </w:rPr>
        <w:t>一</w:t>
      </w:r>
      <w:r w:rsidRPr="007B6667">
        <w:rPr>
          <w:rFonts w:eastAsia="標楷體"/>
          <w:sz w:val="20"/>
          <w:szCs w:val="20"/>
        </w:rPr>
        <w:t>)</w:t>
      </w:r>
      <w:r w:rsidRPr="007B6667">
        <w:rPr>
          <w:rFonts w:eastAsia="標楷體"/>
          <w:sz w:val="20"/>
          <w:szCs w:val="20"/>
        </w:rPr>
        <w:t>水源運用研究」中，規劃了荖濃溪攔河堰的旬引水量，且對於引水造成流域之逕流量影響進行分析，該引水標準可以滿足民國</w:t>
      </w:r>
      <w:r w:rsidRPr="007B6667">
        <w:rPr>
          <w:rFonts w:eastAsia="標楷體"/>
          <w:sz w:val="20"/>
          <w:szCs w:val="20"/>
        </w:rPr>
        <w:t>110</w:t>
      </w:r>
      <w:r w:rsidRPr="007B6667">
        <w:rPr>
          <w:rFonts w:eastAsia="標楷體"/>
          <w:sz w:val="20"/>
          <w:szCs w:val="20"/>
        </w:rPr>
        <w:t>年的人類用水需求，也將生態環境用水列入考量；本研究以該報告書的規劃用水量為參考標準，同時將荖濃溪攔河堰下游與曾文溪曾文水庫下游之生態環境需水量納入考量，設計引取荖濃溪水量之各旬比例，將取水時間分散在一年四季，避免於豐水期曾文水庫無法提供太多庫容時卻要容納荖濃溪水的情形，期望不同時間之不同引水量可以讓水的調度達到更高的使用率，也讓河川水流保留更接近自然變化的狀態。</w:t>
      </w:r>
    </w:p>
    <w:p w:rsidR="007B7FEE" w:rsidRPr="007B6667" w:rsidRDefault="007B7FEE" w:rsidP="0020109F">
      <w:pPr>
        <w:spacing w:beforeLines="50" w:before="120"/>
        <w:ind w:firstLineChars="200" w:firstLine="400"/>
        <w:jc w:val="both"/>
        <w:rPr>
          <w:rFonts w:eastAsia="標楷體"/>
          <w:sz w:val="20"/>
          <w:szCs w:val="20"/>
        </w:rPr>
      </w:pPr>
      <w:r w:rsidRPr="007B6667">
        <w:rPr>
          <w:rFonts w:eastAsia="標楷體"/>
          <w:sz w:val="20"/>
          <w:szCs w:val="20"/>
        </w:rPr>
        <w:t>故本研究之目的即為藉由聯合操作荖濃溪越域引水與曾文水庫蓄放，依荖濃溪不同時期之流量高低設計不同之取水比例，引至曾文水庫存放並提供後續之調度使用，達到最佳取水量，能滿足兩流域的人類用水，同時兼顧河川生態環境之目標。</w:t>
      </w:r>
    </w:p>
    <w:p w:rsidR="00322A1F" w:rsidRPr="007B6667" w:rsidRDefault="00322A1F" w:rsidP="0020109F">
      <w:pPr>
        <w:pStyle w:val="a8"/>
        <w:numPr>
          <w:ilvl w:val="0"/>
          <w:numId w:val="5"/>
        </w:numPr>
        <w:spacing w:beforeLines="50" w:before="120"/>
        <w:ind w:leftChars="0"/>
        <w:jc w:val="center"/>
        <w:rPr>
          <w:rFonts w:eastAsia="標楷體"/>
          <w:b/>
          <w:sz w:val="22"/>
        </w:rPr>
      </w:pPr>
      <w:r w:rsidRPr="007B6667">
        <w:rPr>
          <w:rFonts w:eastAsia="標楷體"/>
          <w:b/>
          <w:sz w:val="22"/>
        </w:rPr>
        <w:t>文獻回顧與理論概述</w:t>
      </w:r>
    </w:p>
    <w:p w:rsidR="00FE4491" w:rsidRPr="007B6667" w:rsidRDefault="00FE4491" w:rsidP="007B6667">
      <w:pPr>
        <w:spacing w:beforeLines="50" w:before="120"/>
        <w:jc w:val="both"/>
        <w:rPr>
          <w:rFonts w:eastAsia="標楷體"/>
          <w:sz w:val="20"/>
          <w:szCs w:val="20"/>
        </w:rPr>
      </w:pPr>
      <w:r w:rsidRPr="007B6667">
        <w:rPr>
          <w:rFonts w:eastAsia="標楷體"/>
          <w:sz w:val="20"/>
          <w:szCs w:val="20"/>
        </w:rPr>
        <w:t xml:space="preserve">2.1 </w:t>
      </w:r>
      <w:r w:rsidRPr="007B6667">
        <w:rPr>
          <w:rFonts w:eastAsia="標楷體"/>
          <w:sz w:val="20"/>
          <w:szCs w:val="20"/>
        </w:rPr>
        <w:t>自然流態</w:t>
      </w:r>
    </w:p>
    <w:p w:rsidR="00322A1F" w:rsidRPr="007B6667" w:rsidRDefault="00864EEE" w:rsidP="007B6667">
      <w:pPr>
        <w:spacing w:beforeLines="50" w:before="120"/>
        <w:ind w:firstLineChars="200" w:firstLine="400"/>
        <w:jc w:val="both"/>
        <w:rPr>
          <w:rFonts w:eastAsia="標楷體"/>
          <w:sz w:val="20"/>
          <w:szCs w:val="20"/>
        </w:rPr>
      </w:pPr>
      <w:r w:rsidRPr="007B6667">
        <w:rPr>
          <w:rFonts w:eastAsia="標楷體"/>
          <w:sz w:val="20"/>
          <w:szCs w:val="20"/>
        </w:rPr>
        <w:t>人類為了利用水源及防範洪災，在河川進行築堤設壩等各類工程，雖然滿足了人類生活上的需求，但也改變了河川流態，</w:t>
      </w:r>
      <w:proofErr w:type="spellStart"/>
      <w:r w:rsidRPr="007B6667">
        <w:rPr>
          <w:rFonts w:eastAsia="標楷體"/>
          <w:sz w:val="20"/>
          <w:szCs w:val="20"/>
        </w:rPr>
        <w:t>Poff</w:t>
      </w:r>
      <w:proofErr w:type="spellEnd"/>
      <w:r w:rsidRPr="007B6667">
        <w:rPr>
          <w:rFonts w:eastAsia="標楷體"/>
          <w:sz w:val="20"/>
          <w:szCs w:val="20"/>
        </w:rPr>
        <w:t>等人</w:t>
      </w:r>
      <w:r w:rsidRPr="007B6667">
        <w:rPr>
          <w:rFonts w:eastAsia="標楷體"/>
          <w:sz w:val="20"/>
          <w:szCs w:val="20"/>
        </w:rPr>
        <w:t>(1997)</w:t>
      </w:r>
      <w:r w:rsidRPr="007B6667">
        <w:rPr>
          <w:rFonts w:eastAsia="標楷體"/>
          <w:sz w:val="20"/>
          <w:szCs w:val="20"/>
        </w:rPr>
        <w:t>提出自然流態的觀念，認為河川應該隨著豐枯水期而有流量多寡的變化。</w:t>
      </w:r>
      <w:r w:rsidR="00B42528" w:rsidRPr="007B6667">
        <w:rPr>
          <w:rFonts w:eastAsia="標楷體"/>
          <w:sz w:val="20"/>
          <w:szCs w:val="20"/>
        </w:rPr>
        <w:t>如</w:t>
      </w:r>
      <w:r w:rsidRPr="007B6667">
        <w:rPr>
          <w:rFonts w:eastAsia="標楷體"/>
          <w:sz w:val="20"/>
          <w:szCs w:val="20"/>
        </w:rPr>
        <w:t>圖</w:t>
      </w:r>
      <w:r w:rsidRPr="007B6667">
        <w:rPr>
          <w:rFonts w:eastAsia="標楷體"/>
          <w:sz w:val="20"/>
          <w:szCs w:val="20"/>
        </w:rPr>
        <w:t>1</w:t>
      </w:r>
      <w:r w:rsidR="00B42528" w:rsidRPr="007B6667">
        <w:rPr>
          <w:rFonts w:eastAsia="標楷體"/>
          <w:sz w:val="20"/>
          <w:szCs w:val="20"/>
        </w:rPr>
        <w:t>中</w:t>
      </w:r>
      <w:r w:rsidRPr="007B6667">
        <w:rPr>
          <w:rFonts w:eastAsia="標楷體"/>
          <w:sz w:val="20"/>
          <w:szCs w:val="20"/>
        </w:rPr>
        <w:t>顯示，形成不同流態的五個元素：量、頻率、延時、時間及變化率，會直接或間接經由水質、能量來源、物理棲息地與生物交互作用等因素影響生態完整性。</w:t>
      </w:r>
    </w:p>
    <w:p w:rsidR="00FE4491" w:rsidRPr="007B6667" w:rsidRDefault="00FE4491" w:rsidP="007B6667">
      <w:pPr>
        <w:spacing w:beforeLines="50" w:before="120"/>
        <w:jc w:val="both"/>
        <w:rPr>
          <w:rFonts w:eastAsia="標楷體"/>
          <w:sz w:val="20"/>
          <w:szCs w:val="20"/>
        </w:rPr>
      </w:pPr>
      <w:r w:rsidRPr="007B6667">
        <w:rPr>
          <w:rFonts w:eastAsia="標楷體"/>
          <w:sz w:val="20"/>
          <w:szCs w:val="20"/>
        </w:rPr>
        <w:t>2.2</w:t>
      </w:r>
      <w:r w:rsidRPr="007B6667">
        <w:rPr>
          <w:rFonts w:eastAsia="標楷體"/>
          <w:sz w:val="20"/>
          <w:szCs w:val="20"/>
        </w:rPr>
        <w:t>水文改變指標與環境流態因子</w:t>
      </w:r>
    </w:p>
    <w:p w:rsidR="00FE4491" w:rsidRPr="007B6667" w:rsidRDefault="00A824AB" w:rsidP="007B6667">
      <w:pPr>
        <w:spacing w:beforeLines="50" w:before="120"/>
        <w:ind w:firstLineChars="200" w:firstLine="400"/>
        <w:jc w:val="both"/>
        <w:rPr>
          <w:rFonts w:eastAsia="標楷體"/>
          <w:sz w:val="20"/>
          <w:szCs w:val="20"/>
        </w:rPr>
      </w:pPr>
      <w:r w:rsidRPr="007B6667">
        <w:rPr>
          <w:rFonts w:eastAsia="標楷體"/>
          <w:sz w:val="20"/>
          <w:szCs w:val="20"/>
        </w:rPr>
        <w:t>保護生態多樣性是生態系統管理的目標之一，管理者面對複雜的自然生態系統，需要對生態系統結構、功能及變化有清晰精確的理解。</w:t>
      </w:r>
      <w:r w:rsidRPr="007B6667">
        <w:rPr>
          <w:rFonts w:eastAsia="標楷體"/>
          <w:sz w:val="20"/>
          <w:szCs w:val="20"/>
        </w:rPr>
        <w:t>Richter</w:t>
      </w:r>
      <w:r w:rsidRPr="007B6667">
        <w:rPr>
          <w:rFonts w:eastAsia="標楷體"/>
          <w:sz w:val="20"/>
          <w:szCs w:val="20"/>
        </w:rPr>
        <w:t>等人</w:t>
      </w:r>
      <w:r w:rsidRPr="007B6667">
        <w:rPr>
          <w:rFonts w:eastAsia="標楷體"/>
          <w:sz w:val="20"/>
          <w:szCs w:val="20"/>
        </w:rPr>
        <w:t>(1996)</w:t>
      </w:r>
      <w:r w:rsidRPr="007B6667">
        <w:rPr>
          <w:rFonts w:eastAsia="標楷體"/>
          <w:sz w:val="20"/>
          <w:szCs w:val="20"/>
        </w:rPr>
        <w:t>發展了一套稱為水文改變指標的方法，利用</w:t>
      </w:r>
      <w:r w:rsidRPr="007B6667">
        <w:rPr>
          <w:rFonts w:eastAsia="標楷體"/>
          <w:sz w:val="20"/>
          <w:szCs w:val="20"/>
        </w:rPr>
        <w:t>32</w:t>
      </w:r>
      <w:r w:rsidRPr="007B6667">
        <w:rPr>
          <w:rFonts w:eastAsia="標楷體"/>
          <w:sz w:val="20"/>
          <w:szCs w:val="20"/>
        </w:rPr>
        <w:t>個水文參數提供生態上有意義的資訊，對水文資料進行分析，藉由比較衝擊前後的水文型態，將水文變化與擾動關係量化。</w:t>
      </w:r>
      <w:r w:rsidRPr="007B6667">
        <w:rPr>
          <w:rFonts w:eastAsia="標楷體"/>
          <w:sz w:val="20"/>
          <w:szCs w:val="20"/>
        </w:rPr>
        <w:t>Richter</w:t>
      </w:r>
      <w:r w:rsidRPr="007B6667">
        <w:rPr>
          <w:rFonts w:eastAsia="標楷體"/>
          <w:sz w:val="20"/>
          <w:szCs w:val="20"/>
        </w:rPr>
        <w:t>等人</w:t>
      </w:r>
      <w:r w:rsidRPr="007B6667">
        <w:rPr>
          <w:rFonts w:eastAsia="標楷體"/>
          <w:sz w:val="20"/>
          <w:szCs w:val="20"/>
        </w:rPr>
        <w:t>(1997)</w:t>
      </w:r>
      <w:r w:rsidRPr="007B6667">
        <w:rPr>
          <w:rFonts w:eastAsia="標楷體"/>
          <w:sz w:val="20"/>
          <w:szCs w:val="20"/>
        </w:rPr>
        <w:t>接著提出可量化河川變化幅度的變化範圍法</w:t>
      </w:r>
      <w:r w:rsidRPr="007B6667">
        <w:rPr>
          <w:rFonts w:eastAsia="標楷體"/>
          <w:sz w:val="20"/>
          <w:szCs w:val="20"/>
        </w:rPr>
        <w:t>(Range of variability approach</w:t>
      </w:r>
      <w:r w:rsidRPr="007B6667">
        <w:rPr>
          <w:rFonts w:eastAsia="標楷體"/>
          <w:sz w:val="20"/>
          <w:szCs w:val="20"/>
        </w:rPr>
        <w:t>，</w:t>
      </w:r>
      <w:r w:rsidRPr="007B6667">
        <w:rPr>
          <w:rFonts w:eastAsia="標楷體"/>
          <w:sz w:val="20"/>
          <w:szCs w:val="20"/>
        </w:rPr>
        <w:t>RVA)</w:t>
      </w:r>
      <w:r w:rsidRPr="007B6667">
        <w:rPr>
          <w:rFonts w:eastAsia="標楷體"/>
          <w:sz w:val="20"/>
          <w:szCs w:val="20"/>
        </w:rPr>
        <w:t>，評估自然河川與人類干擾後河川的水文變化差異度。假設有某條未受人類干擾河流的</w:t>
      </w:r>
      <w:r w:rsidRPr="007B6667">
        <w:rPr>
          <w:rFonts w:eastAsia="標楷體"/>
          <w:sz w:val="20"/>
          <w:szCs w:val="20"/>
        </w:rPr>
        <w:t>N</w:t>
      </w:r>
      <w:r w:rsidRPr="007B6667">
        <w:rPr>
          <w:rFonts w:eastAsia="標楷體"/>
          <w:sz w:val="20"/>
          <w:szCs w:val="20"/>
        </w:rPr>
        <w:t>筆水文指標值，先由小到大進行排序，排序後的第</w:t>
      </w:r>
      <w:r w:rsidRPr="007B6667">
        <w:rPr>
          <w:rFonts w:eastAsia="標楷體"/>
          <w:sz w:val="20"/>
          <w:szCs w:val="20"/>
        </w:rPr>
        <w:t>25% × N</w:t>
      </w:r>
      <w:r w:rsidRPr="007B6667">
        <w:rPr>
          <w:rFonts w:eastAsia="標楷體"/>
          <w:sz w:val="20"/>
          <w:szCs w:val="20"/>
        </w:rPr>
        <w:t>個值定為低門檻值，第</w:t>
      </w:r>
      <w:r w:rsidRPr="007B6667">
        <w:rPr>
          <w:rFonts w:eastAsia="標楷體"/>
          <w:sz w:val="20"/>
          <w:szCs w:val="20"/>
        </w:rPr>
        <w:t>75% × N</w:t>
      </w:r>
      <w:r w:rsidRPr="007B6667">
        <w:rPr>
          <w:rFonts w:eastAsia="標楷體"/>
          <w:sz w:val="20"/>
          <w:szCs w:val="20"/>
        </w:rPr>
        <w:t>個值定為高門檻值，則有</w:t>
      </w:r>
      <w:r w:rsidRPr="007B6667">
        <w:rPr>
          <w:rFonts w:eastAsia="標楷體"/>
          <w:sz w:val="20"/>
          <w:szCs w:val="20"/>
        </w:rPr>
        <w:lastRenderedPageBreak/>
        <w:t>50%</w:t>
      </w:r>
      <w:r w:rsidRPr="007B6667">
        <w:rPr>
          <w:rFonts w:eastAsia="標楷體"/>
          <w:sz w:val="20"/>
          <w:szCs w:val="20"/>
        </w:rPr>
        <w:t>的值落在高低門檻間，再計算河流受人類干擾後的水文指標，以干擾前的高低門檻值為標準</w:t>
      </w:r>
      <w:r w:rsidR="00113158" w:rsidRPr="007B6667">
        <w:rPr>
          <w:rFonts w:eastAsia="標楷體"/>
          <w:sz w:val="20"/>
          <w:szCs w:val="20"/>
        </w:rPr>
        <w:t>，若干擾後也有</w:t>
      </w:r>
      <w:r w:rsidR="00113158" w:rsidRPr="007B6667">
        <w:rPr>
          <w:rFonts w:eastAsia="標楷體"/>
          <w:sz w:val="20"/>
          <w:szCs w:val="20"/>
        </w:rPr>
        <w:t>50%</w:t>
      </w:r>
      <w:r w:rsidR="00113158" w:rsidRPr="007B6667">
        <w:rPr>
          <w:rFonts w:eastAsia="標楷體"/>
          <w:sz w:val="20"/>
          <w:szCs w:val="20"/>
        </w:rPr>
        <w:t>落在高低門檻間，則認為河流受人類干擾後之流態仍可維持受干擾前之生態完整性。</w:t>
      </w:r>
      <w:r w:rsidR="00113158" w:rsidRPr="007B6667">
        <w:rPr>
          <w:rFonts w:eastAsia="標楷體"/>
          <w:sz w:val="20"/>
          <w:szCs w:val="20"/>
        </w:rPr>
        <w:t>Richter</w:t>
      </w:r>
      <w:r w:rsidR="00113158" w:rsidRPr="007B6667">
        <w:rPr>
          <w:rFonts w:eastAsia="標楷體"/>
          <w:sz w:val="20"/>
          <w:szCs w:val="20"/>
        </w:rPr>
        <w:t>等人</w:t>
      </w:r>
      <w:r w:rsidR="00113158" w:rsidRPr="007B6667">
        <w:rPr>
          <w:rFonts w:eastAsia="標楷體"/>
          <w:sz w:val="20"/>
          <w:szCs w:val="20"/>
        </w:rPr>
        <w:t>(1998)</w:t>
      </w:r>
      <w:r w:rsidR="00113158" w:rsidRPr="007B6667">
        <w:rPr>
          <w:rFonts w:eastAsia="標楷體"/>
          <w:sz w:val="20"/>
          <w:szCs w:val="20"/>
        </w:rPr>
        <w:t>接著又提出了水文改變度</w:t>
      </w:r>
      <w:r w:rsidR="00113158" w:rsidRPr="007B6667">
        <w:rPr>
          <w:rFonts w:eastAsia="標楷體"/>
          <w:sz w:val="20"/>
          <w:szCs w:val="20"/>
        </w:rPr>
        <w:t>(Degree of hydrologic alteration)</w:t>
      </w:r>
      <w:r w:rsidR="00113158" w:rsidRPr="007B6667">
        <w:rPr>
          <w:rFonts w:eastAsia="標楷體"/>
          <w:sz w:val="20"/>
          <w:szCs w:val="20"/>
        </w:rPr>
        <w:t>，將每個水文指標實際落在</w:t>
      </w:r>
      <w:r w:rsidR="00113158" w:rsidRPr="007B6667">
        <w:rPr>
          <w:rFonts w:eastAsia="標楷體"/>
          <w:sz w:val="20"/>
          <w:szCs w:val="20"/>
        </w:rPr>
        <w:t>RVA</w:t>
      </w:r>
      <w:r w:rsidR="00113158" w:rsidRPr="007B6667">
        <w:rPr>
          <w:rFonts w:eastAsia="標楷體"/>
          <w:sz w:val="20"/>
          <w:szCs w:val="20"/>
        </w:rPr>
        <w:t>門檻值內的個數減去期望落在</w:t>
      </w:r>
      <w:r w:rsidR="00113158" w:rsidRPr="007B6667">
        <w:rPr>
          <w:rFonts w:eastAsia="標楷體"/>
          <w:sz w:val="20"/>
          <w:szCs w:val="20"/>
        </w:rPr>
        <w:t>RVA</w:t>
      </w:r>
      <w:r w:rsidR="00113158" w:rsidRPr="007B6667">
        <w:rPr>
          <w:rFonts w:eastAsia="標楷體"/>
          <w:sz w:val="20"/>
          <w:szCs w:val="20"/>
        </w:rPr>
        <w:t>門檻值內的個數再求與期望落在</w:t>
      </w:r>
      <w:r w:rsidR="00113158" w:rsidRPr="007B6667">
        <w:rPr>
          <w:rFonts w:eastAsia="標楷體"/>
          <w:sz w:val="20"/>
          <w:szCs w:val="20"/>
        </w:rPr>
        <w:t>RVA</w:t>
      </w:r>
      <w:r w:rsidR="00113158" w:rsidRPr="007B6667">
        <w:rPr>
          <w:rFonts w:eastAsia="標楷體"/>
          <w:sz w:val="20"/>
          <w:szCs w:val="20"/>
        </w:rPr>
        <w:t>門檻值內的個數之百分比例，此百分比即為改變度，其公式定義如下：</w:t>
      </w:r>
    </w:p>
    <w:p w:rsidR="00113158" w:rsidRPr="007B6667" w:rsidRDefault="00113158"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fldChar w:fldCharType="begin"/>
      </w:r>
      <w:r w:rsidRPr="007B6667">
        <w:rPr>
          <w:rFonts w:ascii="Times New Roman" w:eastAsia="標楷體" w:hAnsi="Times New Roman"/>
          <w:sz w:val="20"/>
          <w:szCs w:val="20"/>
        </w:rPr>
        <w:instrText xml:space="preserve"> QUOTE </w:instrText>
      </w:r>
      <m:oMath>
        <m:r>
          <m:rPr>
            <m:sty m:val="p"/>
          </m:rPr>
          <w:rPr>
            <w:rFonts w:ascii="Cambria Math" w:eastAsia="標楷體" w:hAnsi="Cambria Math"/>
          </w:rPr>
          <m:t>D=</m:t>
        </m:r>
        <m:d>
          <m:dPr>
            <m:begChr m:val="|"/>
            <m:endChr m:val="|"/>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rPr>
                  <m:t>O-E</m:t>
                </m:r>
              </m:num>
              <m:den>
                <m:r>
                  <m:rPr>
                    <m:sty m:val="p"/>
                  </m:rPr>
                  <w:rPr>
                    <w:rFonts w:ascii="Cambria Math" w:eastAsia="標楷體" w:hAnsi="Cambria Math"/>
                  </w:rPr>
                  <m:t>E</m:t>
                </m:r>
              </m:den>
            </m:f>
          </m:e>
        </m:d>
        <m:r>
          <m:rPr>
            <m:sty m:val="p"/>
          </m:rPr>
          <w:rPr>
            <w:rFonts w:ascii="Cambria Math" w:eastAsia="標楷體" w:hAnsi="Cambria Math"/>
          </w:rPr>
          <m:t>×100</m:t>
        </m:r>
        <m:r>
          <m:rPr>
            <m:sty m:val="p"/>
          </m:rPr>
          <w:rPr>
            <w:rFonts w:ascii="Cambria Math" w:eastAsia="標楷體" w:hAnsi="Cambria Math"/>
          </w:rPr>
          <m:t>％</m:t>
        </m:r>
        <m:r>
          <m:rPr>
            <m:sty m:val="p"/>
          </m:rPr>
          <w:rPr>
            <w:rFonts w:ascii="Cambria Math" w:eastAsia="標楷體" w:hAnsi="Cambria Math"/>
          </w:rPr>
          <m:t xml:space="preserve">       ( 1 )</m:t>
        </m:r>
      </m:oMath>
      <w:r w:rsidRPr="007B6667">
        <w:rPr>
          <w:rFonts w:ascii="Times New Roman" w:eastAsia="標楷體" w:hAnsi="Times New Roman"/>
          <w:sz w:val="20"/>
          <w:szCs w:val="20"/>
        </w:rPr>
        <w:instrText xml:space="preserve"> </w:instrText>
      </w:r>
      <w:r w:rsidRPr="007B6667">
        <w:rPr>
          <w:rFonts w:ascii="Times New Roman" w:eastAsia="標楷體" w:hAnsi="Times New Roman"/>
          <w:sz w:val="20"/>
          <w:szCs w:val="20"/>
        </w:rPr>
        <w:fldChar w:fldCharType="separate"/>
      </w:r>
      <m:oMath>
        <m:r>
          <m:rPr>
            <m:sty m:val="p"/>
          </m:rPr>
          <w:rPr>
            <w:rFonts w:ascii="Cambria Math" w:eastAsia="標楷體" w:hAnsi="Cambria Math"/>
          </w:rPr>
          <m:t>D=</m:t>
        </m:r>
        <m:d>
          <m:dPr>
            <m:begChr m:val="|"/>
            <m:endChr m:val="|"/>
            <m:ctrlPr>
              <w:rPr>
                <w:rFonts w:ascii="Cambria Math" w:eastAsia="標楷體" w:hAnsi="Cambria Math"/>
              </w:rPr>
            </m:ctrlPr>
          </m:dPr>
          <m:e>
            <m:f>
              <m:fPr>
                <m:ctrlPr>
                  <w:rPr>
                    <w:rFonts w:ascii="Cambria Math" w:eastAsia="標楷體" w:hAnsi="Cambria Math"/>
                  </w:rPr>
                </m:ctrlPr>
              </m:fPr>
              <m:num>
                <m:r>
                  <m:rPr>
                    <m:sty m:val="p"/>
                  </m:rPr>
                  <w:rPr>
                    <w:rFonts w:ascii="Cambria Math" w:eastAsia="標楷體" w:hAnsi="Cambria Math"/>
                  </w:rPr>
                  <m:t>O-E</m:t>
                </m:r>
              </m:num>
              <m:den>
                <m:r>
                  <m:rPr>
                    <m:sty m:val="p"/>
                  </m:rPr>
                  <w:rPr>
                    <w:rFonts w:ascii="Cambria Math" w:eastAsia="標楷體" w:hAnsi="Cambria Math"/>
                  </w:rPr>
                  <m:t>E</m:t>
                </m:r>
              </m:den>
            </m:f>
          </m:e>
        </m:d>
        <m:r>
          <m:rPr>
            <m:sty m:val="p"/>
          </m:rPr>
          <w:rPr>
            <w:rFonts w:ascii="Cambria Math" w:eastAsia="標楷體" w:hAnsi="Cambria Math"/>
          </w:rPr>
          <m:t>×100</m:t>
        </m:r>
        <m:r>
          <m:rPr>
            <m:sty m:val="p"/>
          </m:rPr>
          <w:rPr>
            <w:rFonts w:ascii="Cambria Math" w:eastAsia="標楷體" w:hAnsi="Cambria Math"/>
          </w:rPr>
          <m:t>％</m:t>
        </m:r>
        <m:r>
          <m:rPr>
            <m:sty m:val="p"/>
          </m:rPr>
          <w:rPr>
            <w:rFonts w:ascii="Cambria Math" w:eastAsia="標楷體" w:hAnsi="Cambria Math"/>
          </w:rPr>
          <m:t xml:space="preserve">                     ( 1 )</m:t>
        </m:r>
      </m:oMath>
      <w:r w:rsidRPr="007B6667">
        <w:rPr>
          <w:rFonts w:ascii="Times New Roman" w:eastAsia="標楷體" w:hAnsi="Times New Roman"/>
          <w:sz w:val="20"/>
          <w:szCs w:val="20"/>
        </w:rPr>
        <w:fldChar w:fldCharType="end"/>
      </w:r>
    </w:p>
    <w:p w:rsidR="00113158" w:rsidRPr="007B6667" w:rsidRDefault="00113158" w:rsidP="007B6667">
      <w:pPr>
        <w:pStyle w:val="a8"/>
        <w:spacing w:beforeLines="50" w:before="120"/>
        <w:ind w:leftChars="0" w:left="0"/>
        <w:jc w:val="both"/>
        <w:rPr>
          <w:rFonts w:ascii="Times New Roman" w:eastAsia="標楷體" w:hAnsi="Times New Roman"/>
          <w:sz w:val="20"/>
          <w:szCs w:val="20"/>
        </w:rPr>
      </w:pPr>
      <w:r w:rsidRPr="007B6667">
        <w:rPr>
          <w:rFonts w:ascii="Times New Roman" w:eastAsia="標楷體" w:hAnsi="Times New Roman"/>
          <w:sz w:val="20"/>
          <w:szCs w:val="20"/>
        </w:rPr>
        <w:t>其中：</w:t>
      </w:r>
      <w:r w:rsidRPr="007B6667">
        <w:rPr>
          <w:rFonts w:ascii="Times New Roman" w:eastAsia="標楷體" w:hAnsi="Times New Roman"/>
          <w:sz w:val="20"/>
          <w:szCs w:val="20"/>
        </w:rPr>
        <w:t>D</w:t>
      </w:r>
      <w:r w:rsidRPr="007B6667">
        <w:rPr>
          <w:rFonts w:ascii="Times New Roman" w:eastAsia="標楷體" w:hAnsi="Times New Roman"/>
          <w:sz w:val="20"/>
          <w:szCs w:val="20"/>
        </w:rPr>
        <w:t>為水文改變度，</w:t>
      </w:r>
      <w:r w:rsidRPr="007B6667">
        <w:rPr>
          <w:rFonts w:ascii="Times New Roman" w:eastAsia="標楷體" w:hAnsi="Times New Roman"/>
          <w:sz w:val="20"/>
          <w:szCs w:val="20"/>
        </w:rPr>
        <w:t>O</w:t>
      </w:r>
      <w:r w:rsidRPr="007B6667">
        <w:rPr>
          <w:rFonts w:ascii="Times New Roman" w:eastAsia="標楷體" w:hAnsi="Times New Roman"/>
          <w:sz w:val="20"/>
          <w:szCs w:val="20"/>
        </w:rPr>
        <w:t>為實際落在</w:t>
      </w:r>
      <w:r w:rsidRPr="007B6667">
        <w:rPr>
          <w:rFonts w:ascii="Times New Roman" w:eastAsia="標楷體" w:hAnsi="Times New Roman"/>
          <w:sz w:val="20"/>
          <w:szCs w:val="20"/>
        </w:rPr>
        <w:t>RVA</w:t>
      </w:r>
      <w:r w:rsidRPr="007B6667">
        <w:rPr>
          <w:rFonts w:ascii="Times New Roman" w:eastAsia="標楷體" w:hAnsi="Times New Roman"/>
          <w:sz w:val="20"/>
          <w:szCs w:val="20"/>
        </w:rPr>
        <w:t>高低門檻值內之個數，</w:t>
      </w:r>
      <w:r w:rsidRPr="007B6667">
        <w:rPr>
          <w:rFonts w:ascii="Times New Roman" w:eastAsia="標楷體" w:hAnsi="Times New Roman"/>
          <w:sz w:val="20"/>
          <w:szCs w:val="20"/>
        </w:rPr>
        <w:t>E</w:t>
      </w:r>
      <w:r w:rsidRPr="007B6667">
        <w:rPr>
          <w:rFonts w:ascii="Times New Roman" w:eastAsia="標楷體" w:hAnsi="Times New Roman"/>
          <w:sz w:val="20"/>
          <w:szCs w:val="20"/>
        </w:rPr>
        <w:t>為預期落在</w:t>
      </w:r>
      <w:r w:rsidRPr="007B6667">
        <w:rPr>
          <w:rFonts w:ascii="Times New Roman" w:eastAsia="標楷體" w:hAnsi="Times New Roman"/>
          <w:sz w:val="20"/>
          <w:szCs w:val="20"/>
        </w:rPr>
        <w:t>RVA</w:t>
      </w:r>
      <w:r w:rsidRPr="007B6667">
        <w:rPr>
          <w:rFonts w:ascii="Times New Roman" w:eastAsia="標楷體" w:hAnsi="Times New Roman"/>
          <w:sz w:val="20"/>
          <w:szCs w:val="20"/>
        </w:rPr>
        <w:t>高低門檻值內之個數。</w:t>
      </w:r>
      <w:r w:rsidRPr="007B6667">
        <w:rPr>
          <w:rFonts w:ascii="Times New Roman" w:eastAsia="標楷體" w:hAnsi="Times New Roman"/>
          <w:sz w:val="20"/>
          <w:szCs w:val="20"/>
        </w:rPr>
        <w:t>Richter</w:t>
      </w:r>
      <w:r w:rsidRPr="007B6667">
        <w:rPr>
          <w:rFonts w:ascii="Times New Roman" w:eastAsia="標楷體" w:hAnsi="Times New Roman"/>
          <w:sz w:val="20"/>
          <w:szCs w:val="20"/>
        </w:rPr>
        <w:t>等人</w:t>
      </w:r>
      <w:r w:rsidRPr="007B6667">
        <w:rPr>
          <w:rFonts w:ascii="Times New Roman" w:eastAsia="標楷體" w:hAnsi="Times New Roman"/>
          <w:sz w:val="20"/>
          <w:szCs w:val="20"/>
        </w:rPr>
        <w:t>(1998)</w:t>
      </w:r>
      <w:r w:rsidRPr="007B6667">
        <w:rPr>
          <w:rFonts w:ascii="Times New Roman" w:eastAsia="標楷體" w:hAnsi="Times New Roman"/>
          <w:sz w:val="20"/>
          <w:szCs w:val="20"/>
        </w:rPr>
        <w:t>定義水文改變度</w:t>
      </w:r>
      <w:r w:rsidRPr="007B6667">
        <w:rPr>
          <w:rFonts w:ascii="Times New Roman" w:eastAsia="標楷體" w:hAnsi="Times New Roman"/>
          <w:sz w:val="20"/>
          <w:szCs w:val="20"/>
        </w:rPr>
        <w:t>0-33%</w:t>
      </w:r>
      <w:r w:rsidRPr="007B6667">
        <w:rPr>
          <w:rFonts w:ascii="Times New Roman" w:eastAsia="標楷體" w:hAnsi="Times New Roman"/>
          <w:sz w:val="20"/>
          <w:szCs w:val="20"/>
        </w:rPr>
        <w:t>為低度改變、</w:t>
      </w:r>
      <w:r w:rsidRPr="007B6667">
        <w:rPr>
          <w:rFonts w:ascii="Times New Roman" w:eastAsia="標楷體" w:hAnsi="Times New Roman"/>
          <w:sz w:val="20"/>
          <w:szCs w:val="20"/>
        </w:rPr>
        <w:t>34-67%</w:t>
      </w:r>
      <w:r w:rsidRPr="007B6667">
        <w:rPr>
          <w:rFonts w:ascii="Times New Roman" w:eastAsia="標楷體" w:hAnsi="Times New Roman"/>
          <w:sz w:val="20"/>
          <w:szCs w:val="20"/>
        </w:rPr>
        <w:t>為中度改變、</w:t>
      </w:r>
      <w:r w:rsidRPr="007B6667">
        <w:rPr>
          <w:rFonts w:ascii="Times New Roman" w:eastAsia="標楷體" w:hAnsi="Times New Roman"/>
          <w:sz w:val="20"/>
          <w:szCs w:val="20"/>
        </w:rPr>
        <w:t>68-100%</w:t>
      </w:r>
      <w:r w:rsidRPr="007B6667">
        <w:rPr>
          <w:rFonts w:ascii="Times New Roman" w:eastAsia="標楷體" w:hAnsi="Times New Roman"/>
          <w:sz w:val="20"/>
          <w:szCs w:val="20"/>
        </w:rPr>
        <w:t>為高度改變，依其定義可輕易判讀河川流量在人類干擾後受影響的強度。</w:t>
      </w:r>
    </w:p>
    <w:p w:rsidR="006431AB" w:rsidRPr="007B6667" w:rsidRDefault="00F92642" w:rsidP="007B6667">
      <w:pPr>
        <w:spacing w:beforeLines="50" w:before="120"/>
        <w:jc w:val="center"/>
        <w:rPr>
          <w:rFonts w:eastAsia="標楷體"/>
          <w:sz w:val="20"/>
          <w:szCs w:val="20"/>
        </w:rPr>
      </w:pPr>
      <w:r w:rsidRPr="007B6667">
        <w:rPr>
          <w:rFonts w:eastAsia="標楷體"/>
          <w:b/>
          <w:noProof/>
          <w:sz w:val="20"/>
          <w:szCs w:val="20"/>
        </w:rPr>
        <mc:AlternateContent>
          <mc:Choice Requires="wpc">
            <w:drawing>
              <wp:inline distT="0" distB="0" distL="0" distR="0" wp14:anchorId="49223283" wp14:editId="3FF89E50">
                <wp:extent cx="2804193" cy="1938337"/>
                <wp:effectExtent l="0" t="0" r="15240" b="0"/>
                <wp:docPr id="25"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1"/>
                        <wps:cNvSpPr>
                          <a:spLocks noChangeArrowheads="1"/>
                        </wps:cNvSpPr>
                        <wps:spPr bwMode="auto">
                          <a:xfrm>
                            <a:off x="947394" y="0"/>
                            <a:ext cx="1130722" cy="472393"/>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量、頻率、延時、時間、變化率</w:t>
                              </w:r>
                            </w:p>
                          </w:txbxContent>
                        </wps:txbx>
                        <wps:bodyPr rot="0" vert="horz" wrap="square" lIns="91440" tIns="45720" rIns="91440" bIns="45720" anchor="t" anchorCtr="0" upright="1">
                          <a:noAutofit/>
                        </wps:bodyPr>
                      </wps:wsp>
                      <wps:wsp>
                        <wps:cNvPr id="2" name="Rectangle 22"/>
                        <wps:cNvSpPr>
                          <a:spLocks noChangeArrowheads="1"/>
                        </wps:cNvSpPr>
                        <wps:spPr bwMode="auto">
                          <a:xfrm>
                            <a:off x="2196754" y="752167"/>
                            <a:ext cx="606372" cy="453351"/>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生物交互作用</w:t>
                              </w:r>
                            </w:p>
                          </w:txbxContent>
                        </wps:txbx>
                        <wps:bodyPr rot="0" vert="horz" wrap="square" lIns="91440" tIns="45720" rIns="91440" bIns="45720" anchor="t" anchorCtr="0" upright="1">
                          <a:noAutofit/>
                        </wps:bodyPr>
                      </wps:wsp>
                      <wps:wsp>
                        <wps:cNvPr id="3" name="Rectangle 23"/>
                        <wps:cNvSpPr>
                          <a:spLocks noChangeArrowheads="1"/>
                        </wps:cNvSpPr>
                        <wps:spPr bwMode="auto">
                          <a:xfrm>
                            <a:off x="1542048" y="752167"/>
                            <a:ext cx="607104" cy="453351"/>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物理 棲息地</w:t>
                              </w:r>
                            </w:p>
                          </w:txbxContent>
                        </wps:txbx>
                        <wps:bodyPr rot="0" vert="horz" wrap="square" lIns="91440" tIns="45720" rIns="91440" bIns="45720" anchor="t" anchorCtr="0" upright="1">
                          <a:noAutofit/>
                        </wps:bodyPr>
                      </wps:wsp>
                      <wps:wsp>
                        <wps:cNvPr id="4" name="Rectangle 24"/>
                        <wps:cNvSpPr>
                          <a:spLocks noChangeArrowheads="1"/>
                        </wps:cNvSpPr>
                        <wps:spPr bwMode="auto">
                          <a:xfrm>
                            <a:off x="867569" y="752167"/>
                            <a:ext cx="603443" cy="453351"/>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能量 來源</w:t>
                              </w:r>
                            </w:p>
                          </w:txbxContent>
                        </wps:txbx>
                        <wps:bodyPr rot="0" vert="horz" wrap="square" lIns="91440" tIns="45720" rIns="91440" bIns="45720" anchor="t" anchorCtr="0" upright="1">
                          <a:noAutofit/>
                        </wps:bodyPr>
                      </wps:wsp>
                      <wps:wsp>
                        <wps:cNvPr id="14" name="Rectangle 25"/>
                        <wps:cNvSpPr>
                          <a:spLocks noChangeArrowheads="1"/>
                        </wps:cNvSpPr>
                        <wps:spPr bwMode="auto">
                          <a:xfrm>
                            <a:off x="213596" y="752167"/>
                            <a:ext cx="606372" cy="453351"/>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水質</w:t>
                              </w:r>
                            </w:p>
                          </w:txbxContent>
                        </wps:txbx>
                        <wps:bodyPr rot="0" vert="horz" wrap="square" lIns="91440" tIns="45720" rIns="91440" bIns="45720" anchor="t" anchorCtr="0" upright="1">
                          <a:noAutofit/>
                        </wps:bodyPr>
                      </wps:wsp>
                      <wps:wsp>
                        <wps:cNvPr id="15" name="Rectangle 26"/>
                        <wps:cNvSpPr>
                          <a:spLocks noChangeArrowheads="1"/>
                        </wps:cNvSpPr>
                        <wps:spPr bwMode="auto">
                          <a:xfrm>
                            <a:off x="947394" y="1503602"/>
                            <a:ext cx="1130722" cy="287098"/>
                          </a:xfrm>
                          <a:prstGeom prst="rect">
                            <a:avLst/>
                          </a:prstGeom>
                          <a:solidFill>
                            <a:srgbClr val="FFFFFF"/>
                          </a:solidFill>
                          <a:ln w="9525">
                            <a:solidFill>
                              <a:srgbClr val="000000"/>
                            </a:solidFill>
                            <a:miter lim="800000"/>
                            <a:headEnd/>
                            <a:tailEnd/>
                          </a:ln>
                        </wps:spPr>
                        <wps:txb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生態完整性</w:t>
                              </w:r>
                            </w:p>
                          </w:txbxContent>
                        </wps:txbx>
                        <wps:bodyPr rot="0" vert="horz" wrap="square" lIns="91440" tIns="45720" rIns="91440" bIns="45720" anchor="t" anchorCtr="0" upright="1">
                          <a:noAutofit/>
                        </wps:bodyPr>
                      </wps:wsp>
                      <wps:wsp>
                        <wps:cNvPr id="16" name="AutoShape 27"/>
                        <wps:cNvCnPr>
                          <a:cxnSpLocks noChangeShapeType="1"/>
                          <a:stCxn id="1" idx="2"/>
                          <a:endCxn id="15" idx="0"/>
                        </wps:cNvCnPr>
                        <wps:spPr bwMode="auto">
                          <a:xfrm>
                            <a:off x="1512755" y="472393"/>
                            <a:ext cx="732" cy="1031209"/>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7" name="AutoShape 28"/>
                        <wps:cNvCnPr>
                          <a:cxnSpLocks noChangeShapeType="1"/>
                          <a:stCxn id="1" idx="2"/>
                          <a:endCxn id="4" idx="0"/>
                        </wps:cNvCnPr>
                        <wps:spPr bwMode="auto">
                          <a:xfrm flipH="1">
                            <a:off x="1169291" y="472393"/>
                            <a:ext cx="343464" cy="279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9"/>
                        <wps:cNvCnPr>
                          <a:cxnSpLocks noChangeShapeType="1"/>
                          <a:stCxn id="1" idx="2"/>
                          <a:endCxn id="14" idx="0"/>
                        </wps:cNvCnPr>
                        <wps:spPr bwMode="auto">
                          <a:xfrm flipH="1">
                            <a:off x="516782" y="472393"/>
                            <a:ext cx="995973" cy="279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30"/>
                        <wps:cNvCnPr>
                          <a:cxnSpLocks noChangeShapeType="1"/>
                          <a:stCxn id="1" idx="2"/>
                          <a:endCxn id="3" idx="0"/>
                        </wps:cNvCnPr>
                        <wps:spPr bwMode="auto">
                          <a:xfrm>
                            <a:off x="1512755" y="472393"/>
                            <a:ext cx="332479" cy="279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31"/>
                        <wps:cNvCnPr>
                          <a:cxnSpLocks noChangeShapeType="1"/>
                          <a:stCxn id="1" idx="2"/>
                          <a:endCxn id="2" idx="0"/>
                        </wps:cNvCnPr>
                        <wps:spPr bwMode="auto">
                          <a:xfrm>
                            <a:off x="1512755" y="472393"/>
                            <a:ext cx="987185" cy="279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2"/>
                        <wps:cNvCnPr>
                          <a:cxnSpLocks noChangeShapeType="1"/>
                          <a:stCxn id="14" idx="2"/>
                          <a:endCxn id="15" idx="0"/>
                        </wps:cNvCnPr>
                        <wps:spPr bwMode="auto">
                          <a:xfrm>
                            <a:off x="516782" y="1205518"/>
                            <a:ext cx="995973" cy="2980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2" name="AutoShape 33"/>
                        <wps:cNvCnPr>
                          <a:cxnSpLocks noChangeShapeType="1"/>
                          <a:stCxn id="4" idx="2"/>
                          <a:endCxn id="15" idx="0"/>
                        </wps:cNvCnPr>
                        <wps:spPr bwMode="auto">
                          <a:xfrm>
                            <a:off x="1169291" y="1205518"/>
                            <a:ext cx="343464" cy="2980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3" name="AutoShape 34"/>
                        <wps:cNvCnPr>
                          <a:cxnSpLocks noChangeShapeType="1"/>
                          <a:stCxn id="3" idx="2"/>
                          <a:endCxn id="15" idx="0"/>
                        </wps:cNvCnPr>
                        <wps:spPr bwMode="auto">
                          <a:xfrm flipH="1">
                            <a:off x="1512755" y="1205518"/>
                            <a:ext cx="332479" cy="2980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24" name="AutoShape 35"/>
                        <wps:cNvCnPr>
                          <a:cxnSpLocks noChangeShapeType="1"/>
                          <a:stCxn id="2" idx="2"/>
                          <a:endCxn id="15" idx="0"/>
                        </wps:cNvCnPr>
                        <wps:spPr bwMode="auto">
                          <a:xfrm flipH="1">
                            <a:off x="1512755" y="1205518"/>
                            <a:ext cx="987185" cy="298084"/>
                          </a:xfrm>
                          <a:prstGeom prst="straightConnector1">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c:wpc>
                  </a:graphicData>
                </a:graphic>
              </wp:inline>
            </w:drawing>
          </mc:Choice>
          <mc:Fallback>
            <w:pict>
              <v:group id="畫布 19" o:spid="_x0000_s1026" editas="canvas" style="width:220.8pt;height:152.6pt;mso-position-horizontal-relative:char;mso-position-vertical-relative:line" coordsize="2804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041;height:19380;visibility:visible;mso-wrap-style:square">
                  <v:fill o:detectmouseclick="t"/>
                  <v:path o:connecttype="none"/>
                </v:shape>
                <v:rect id="Rectangle 21" o:spid="_x0000_s1028" style="position:absolute;left:9473;width:11308;height:4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量、頻率、延時、時間、變化率</w:t>
                        </w:r>
                      </w:p>
                    </w:txbxContent>
                  </v:textbox>
                </v:rect>
                <v:rect id="Rectangle 22" o:spid="_x0000_s1029" style="position:absolute;left:21967;top:7521;width:6064;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生物交互作用</w:t>
                        </w:r>
                      </w:p>
                    </w:txbxContent>
                  </v:textbox>
                </v:rect>
                <v:rect id="Rectangle 23" o:spid="_x0000_s1030" style="position:absolute;left:15420;top:7521;width:6071;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物理 棲息地</w:t>
                        </w:r>
                      </w:p>
                    </w:txbxContent>
                  </v:textbox>
                </v:rect>
                <v:rect id="Rectangle 24" o:spid="_x0000_s1031" style="position:absolute;left:8675;top:7521;width:6035;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能量 來源</w:t>
                        </w:r>
                      </w:p>
                    </w:txbxContent>
                  </v:textbox>
                </v:rect>
                <v:rect id="Rectangle 25" o:spid="_x0000_s1032" style="position:absolute;left:2135;top:7521;width:6064;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水質</w:t>
                        </w:r>
                      </w:p>
                    </w:txbxContent>
                  </v:textbox>
                </v:rect>
                <v:rect id="Rectangle 26" o:spid="_x0000_s1033" style="position:absolute;left:9473;top:15036;width:11308;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A2767A" w:rsidRPr="006431AB" w:rsidRDefault="00A2767A" w:rsidP="00CB13B5">
                        <w:pPr>
                          <w:jc w:val="center"/>
                          <w:rPr>
                            <w:rFonts w:ascii="新細明體" w:hAnsi="新細明體"/>
                            <w:sz w:val="20"/>
                            <w:szCs w:val="20"/>
                          </w:rPr>
                        </w:pPr>
                        <w:r w:rsidRPr="006431AB">
                          <w:rPr>
                            <w:rFonts w:ascii="新細明體" w:hAnsi="新細明體" w:hint="eastAsia"/>
                            <w:sz w:val="20"/>
                            <w:szCs w:val="20"/>
                          </w:rPr>
                          <w:t>生態完整性</w:t>
                        </w:r>
                      </w:p>
                    </w:txbxContent>
                  </v:textbox>
                </v:rect>
                <v:shapetype id="_x0000_t32" coordsize="21600,21600" o:spt="32" o:oned="t" path="m,l21600,21600e" filled="f">
                  <v:path arrowok="t" fillok="f" o:connecttype="none"/>
                  <o:lock v:ext="edit" shapetype="t"/>
                </v:shapetype>
                <v:shape id="AutoShape 27" o:spid="_x0000_s1034" type="#_x0000_t32" style="position:absolute;left:15127;top:4723;width:7;height:103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nhzMIAAADbAAAADwAAAGRycy9kb3ducmV2LnhtbERPTWvCQBC9F/wPywheRDfVIhJdRVoK&#10;pQjV6MXbkB2TaHY2ZNck/ntXEHqbx/uc5bozpWiodoVlBe/jCARxanXBmYLj4Xs0B+E8ssbSMim4&#10;k4P1qve2xFjblvfUJD4TIYRdjApy76tYSpfmZNCNbUUcuLOtDfoA60zqGtsQbko5iaKZNFhwaMix&#10;os+c0mtyMwqu7pJ8/EW/Xzxt0pvdDls9Pe2UGvS7zQKEp87/i1/uHx3mz+D5Szh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nhzMIAAADbAAAADwAAAAAAAAAAAAAA&#10;AAChAgAAZHJzL2Rvd25yZXYueG1sUEsFBgAAAAAEAAQA+QAAAJADAAAAAA==&#10;">
                  <v:stroke endarrow="block" endarrowwidth="narrow" endarrowlength="long"/>
                </v:shape>
                <v:shape id="AutoShape 28" o:spid="_x0000_s1035" type="#_x0000_t32" style="position:absolute;left:11692;top:4723;width:3435;height:27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29" o:spid="_x0000_s1036" type="#_x0000_t32" style="position:absolute;left:5167;top:4723;width:9960;height:279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wcXcIAAADbAAAADwAAAGRycy9kb3ducmV2LnhtbESPQWsCMRCF7wX/QxjBW80qWMrWKFUQ&#10;pBepFfQ4bKa7oZvJskk36793DoXeZnhv3vtmvR19qwbqowtsYDEvQBFXwTquDVy+Ds+voGJCttgG&#10;JgN3irDdTJ7WWNqQ+ZOGc6qVhHAs0UCTUldqHauGPMZ56IhF+w69xyRrX2vbY5Zw3+plUbxoj46l&#10;ocGO9g1VP+dfb8Dlkxu64z7vPq63aDO5+yo4Y2bT8f0NVKIx/Zv/ro9W8AVWfpEB9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wcXcIAAADbAAAADwAAAAAAAAAAAAAA&#10;AAChAgAAZHJzL2Rvd25yZXYueG1sUEsFBgAAAAAEAAQA+QAAAJADAAAAAA==&#10;">
                  <v:stroke endarrow="block"/>
                </v:shape>
                <v:shape id="AutoShape 30" o:spid="_x0000_s1037" type="#_x0000_t32" style="position:absolute;left:15127;top:4723;width:3325;height:2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31" o:spid="_x0000_s1038" type="#_x0000_t32" style="position:absolute;left:15127;top:4723;width:9872;height:27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32" o:spid="_x0000_s1039" type="#_x0000_t32" style="position:absolute;left:5167;top:12055;width:9960;height:2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yzBcYAAADbAAAADwAAAGRycy9kb3ducmV2LnhtbESPzWrDMBCE74G8g9hCL6WW80MobhQT&#10;WgohFJI4vfS2WFvbtbUylmI7bx8VCjkOM/MNs05H04ieOldZVjCLYhDEudUVFwq+zh/PLyCcR9bY&#10;WCYFV3KQbqaTNSbaDnyiPvOFCBB2CSoovW8TKV1ekkEX2ZY4eD+2M+iD7AqpOxwC3DRyHscrabDi&#10;sFBiS28l5XV2MQpq95stD/H+nRd9frGfT4NefB+VenwYt68gPI3+Hv5v77SC+Qz+voQf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sswXGAAAA2wAAAA8AAAAAAAAA&#10;AAAAAAAAoQIAAGRycy9kb3ducmV2LnhtbFBLBQYAAAAABAAEAPkAAACUAwAAAAA=&#10;">
                  <v:stroke endarrow="block" endarrowwidth="narrow" endarrowlength="long"/>
                </v:shape>
                <v:shape id="AutoShape 33" o:spid="_x0000_s1040" type="#_x0000_t32" style="position:absolute;left:11692;top:12055;width:3435;height:2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4tcsQAAADbAAAADwAAAGRycy9kb3ducmV2LnhtbESPQWvCQBSE70L/w/IKvYhuGkVK6ipi&#10;KZQiqKmX3h7ZZxLNvg3ZNYn/3hUEj8PMfMPMl72pREuNKy0reB9HIIgzq0vOFRz+vkcfIJxH1lhZ&#10;JgVXcrBcvAzmmGjb8Z7a1OciQNglqKDwvk6kdFlBBt3Y1sTBO9rGoA+yyaVusAtwU8k4imbSYMlh&#10;ocCa1gVl5/RiFJzdKZ1uo98vnrTZxW6GnZ7875R6e+1XnyA89f4ZfrR/tII4hvuX8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i1yxAAAANsAAAAPAAAAAAAAAAAA&#10;AAAAAKECAABkcnMvZG93bnJldi54bWxQSwUGAAAAAAQABAD5AAAAkgMAAAAA&#10;">
                  <v:stroke endarrow="block" endarrowwidth="narrow" endarrowlength="long"/>
                </v:shape>
                <v:shape id="AutoShape 34" o:spid="_x0000_s1041" type="#_x0000_t32" style="position:absolute;left:15127;top:12055;width:3325;height:2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6G8UAAADbAAAADwAAAGRycy9kb3ducmV2LnhtbESPQWuDQBSE74X+h+UVcinNmpSGYrOK&#10;CQmYQw+xXnp7uK8qum/F3UTz77OFQo/DzHzDbNPZ9OJKo2stK1gtIxDEldUt1wrKr+PLOwjnkTX2&#10;lknBjRykyePDFmNtJz7TtfC1CBB2MSpovB9iKV3VkEG3tANx8H7saNAHOdZSjzgFuOnlOoo20mDL&#10;YaHBgfYNVV1xMQp2hTl943HOP6fnvIy6w1uhs5NSi6c5+wDhafb/4b92rhWsX+H3S/gBMr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d6G8UAAADbAAAADwAAAAAAAAAA&#10;AAAAAAChAgAAZHJzL2Rvd25yZXYueG1sUEsFBgAAAAAEAAQA+QAAAJMDAAAAAA==&#10;">
                  <v:stroke endarrow="block" endarrowwidth="narrow" endarrowlength="long"/>
                </v:shape>
                <v:shape id="AutoShape 35" o:spid="_x0000_s1042" type="#_x0000_t32" style="position:absolute;left:15127;top:12055;width:9872;height:29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7ib8UAAADbAAAADwAAAGRycy9kb3ducmV2LnhtbESPQWuDQBSE74X+h+UVcinNmtCGYrOK&#10;CQmYQw+xXnp7uK8qum/F3UTz77OFQo/DzHzDbNPZ9OJKo2stK1gtIxDEldUt1wrKr+PLOwjnkTX2&#10;lknBjRykyePDFmNtJz7TtfC1CBB2MSpovB9iKV3VkEG3tANx8H7saNAHOdZSjzgFuOnlOoo20mDL&#10;YaHBgfYNVV1xMQp2hTl943HOP6fnvIy6w1uhs5NSi6c5+wDhafb/4b92rhWsX+H3S/gBMr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7ib8UAAADbAAAADwAAAAAAAAAA&#10;AAAAAAChAgAAZHJzL2Rvd25yZXYueG1sUEsFBgAAAAAEAAQA+QAAAJMDAAAAAA==&#10;">
                  <v:stroke endarrow="block" endarrowwidth="narrow" endarrowlength="long"/>
                </v:shape>
                <w10:anchorlock/>
              </v:group>
            </w:pict>
          </mc:Fallback>
        </mc:AlternateContent>
      </w:r>
    </w:p>
    <w:p w:rsidR="00322A1F" w:rsidRPr="007B6667" w:rsidRDefault="00CB13B5" w:rsidP="007B6667">
      <w:pPr>
        <w:spacing w:beforeLines="50" w:before="120"/>
        <w:jc w:val="center"/>
        <w:rPr>
          <w:rFonts w:eastAsia="標楷體"/>
          <w:b/>
          <w:sz w:val="20"/>
          <w:szCs w:val="20"/>
        </w:rPr>
      </w:pPr>
      <w:r w:rsidRPr="007B6667">
        <w:rPr>
          <w:rFonts w:eastAsia="標楷體"/>
          <w:b/>
          <w:sz w:val="20"/>
          <w:szCs w:val="20"/>
        </w:rPr>
        <w:t>圖</w:t>
      </w:r>
      <w:r w:rsidRPr="007B6667">
        <w:rPr>
          <w:rFonts w:eastAsia="標楷體"/>
          <w:b/>
          <w:sz w:val="20"/>
          <w:szCs w:val="20"/>
        </w:rPr>
        <w:t xml:space="preserve">1 </w:t>
      </w:r>
      <w:r w:rsidRPr="007B6667">
        <w:rPr>
          <w:rFonts w:eastAsia="標楷體"/>
          <w:b/>
          <w:sz w:val="20"/>
          <w:szCs w:val="20"/>
        </w:rPr>
        <w:t>流態與生態完整性之關係</w:t>
      </w:r>
      <w:r w:rsidRPr="007B6667">
        <w:rPr>
          <w:rFonts w:eastAsia="標楷體"/>
          <w:b/>
          <w:sz w:val="20"/>
          <w:szCs w:val="20"/>
        </w:rPr>
        <w:t>(</w:t>
      </w:r>
      <w:proofErr w:type="spellStart"/>
      <w:r w:rsidRPr="007B6667">
        <w:rPr>
          <w:rFonts w:eastAsia="標楷體"/>
          <w:b/>
          <w:sz w:val="20"/>
          <w:szCs w:val="20"/>
        </w:rPr>
        <w:t>Poff</w:t>
      </w:r>
      <w:proofErr w:type="spellEnd"/>
      <w:r w:rsidRPr="007B6667">
        <w:rPr>
          <w:rFonts w:eastAsia="標楷體"/>
          <w:b/>
          <w:sz w:val="20"/>
          <w:szCs w:val="20"/>
        </w:rPr>
        <w:t>等人，</w:t>
      </w:r>
      <w:r w:rsidRPr="007B6667">
        <w:rPr>
          <w:rFonts w:eastAsia="標楷體"/>
          <w:b/>
          <w:sz w:val="20"/>
          <w:szCs w:val="20"/>
        </w:rPr>
        <w:t>1997)</w:t>
      </w:r>
    </w:p>
    <w:p w:rsidR="00A824AB" w:rsidRPr="007B6667" w:rsidRDefault="00E94056"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t>然而</w:t>
      </w:r>
      <w:r w:rsidRPr="007B6667">
        <w:rPr>
          <w:rFonts w:ascii="Times New Roman" w:eastAsia="標楷體" w:hAnsi="Times New Roman"/>
          <w:sz w:val="20"/>
          <w:szCs w:val="20"/>
        </w:rPr>
        <w:t>32</w:t>
      </w:r>
      <w:r w:rsidRPr="007B6667">
        <w:rPr>
          <w:rFonts w:ascii="Times New Roman" w:eastAsia="標楷體" w:hAnsi="Times New Roman"/>
          <w:sz w:val="20"/>
          <w:szCs w:val="20"/>
        </w:rPr>
        <w:t>個水文改變指標在使用上不容易被管理者採納，</w:t>
      </w:r>
      <w:r w:rsidRPr="007B6667">
        <w:rPr>
          <w:rFonts w:ascii="Times New Roman" w:eastAsia="標楷體" w:hAnsi="Times New Roman"/>
          <w:sz w:val="20"/>
          <w:szCs w:val="20"/>
        </w:rPr>
        <w:t>Richter</w:t>
      </w:r>
      <w:r w:rsidRPr="007B6667">
        <w:rPr>
          <w:rFonts w:ascii="Times New Roman" w:eastAsia="標楷體" w:hAnsi="Times New Roman"/>
          <w:sz w:val="20"/>
          <w:szCs w:val="20"/>
        </w:rPr>
        <w:t>與</w:t>
      </w:r>
      <w:r w:rsidRPr="007B6667">
        <w:rPr>
          <w:rFonts w:ascii="Times New Roman" w:eastAsia="標楷體" w:hAnsi="Times New Roman"/>
          <w:sz w:val="20"/>
          <w:szCs w:val="20"/>
        </w:rPr>
        <w:t>Thomas (2007)</w:t>
      </w:r>
      <w:r w:rsidRPr="007B6667">
        <w:rPr>
          <w:rFonts w:ascii="Times New Roman" w:eastAsia="標楷體" w:hAnsi="Times New Roman"/>
          <w:sz w:val="20"/>
          <w:szCs w:val="20"/>
        </w:rPr>
        <w:t>在整合水文改變指標的特性後提出環境流態因子，將流量由小到大排序後分為五個等級，其分級標準以排序後流量的第</w:t>
      </w:r>
      <w:r w:rsidRPr="007B6667">
        <w:rPr>
          <w:rFonts w:ascii="Times New Roman" w:eastAsia="標楷體" w:hAnsi="Times New Roman"/>
          <w:sz w:val="20"/>
          <w:szCs w:val="20"/>
        </w:rPr>
        <w:t>50%</w:t>
      </w:r>
      <w:r w:rsidRPr="007B6667">
        <w:rPr>
          <w:rFonts w:ascii="Times New Roman" w:eastAsia="標楷體" w:hAnsi="Times New Roman"/>
          <w:sz w:val="20"/>
          <w:szCs w:val="20"/>
        </w:rPr>
        <w:t>個做為區別高低流量的值，低於該值的部份定為低流量，再取低流量中最低的</w:t>
      </w:r>
      <w:r w:rsidRPr="007B6667">
        <w:rPr>
          <w:rFonts w:ascii="Times New Roman" w:eastAsia="標楷體" w:hAnsi="Times New Roman"/>
          <w:sz w:val="20"/>
          <w:szCs w:val="20"/>
        </w:rPr>
        <w:t>10%</w:t>
      </w:r>
      <w:r w:rsidRPr="007B6667">
        <w:rPr>
          <w:rFonts w:ascii="Times New Roman" w:eastAsia="標楷體" w:hAnsi="Times New Roman"/>
          <w:sz w:val="20"/>
          <w:szCs w:val="20"/>
        </w:rPr>
        <w:t>個定為極端低流量，另外將全部流量的第</w:t>
      </w:r>
      <w:r w:rsidRPr="007B6667">
        <w:rPr>
          <w:rFonts w:ascii="Times New Roman" w:eastAsia="標楷體" w:hAnsi="Times New Roman"/>
          <w:sz w:val="20"/>
          <w:szCs w:val="20"/>
        </w:rPr>
        <w:t>75%</w:t>
      </w:r>
      <w:r w:rsidRPr="007B6667">
        <w:rPr>
          <w:rFonts w:ascii="Times New Roman" w:eastAsia="標楷體" w:hAnsi="Times New Roman"/>
          <w:sz w:val="20"/>
          <w:szCs w:val="20"/>
        </w:rPr>
        <w:t>個視為高流量級的高門檻值，意即第</w:t>
      </w:r>
      <w:r w:rsidRPr="007B6667">
        <w:rPr>
          <w:rFonts w:ascii="Times New Roman" w:eastAsia="標楷體" w:hAnsi="Times New Roman"/>
          <w:sz w:val="20"/>
          <w:szCs w:val="20"/>
        </w:rPr>
        <w:t>50%-75%</w:t>
      </w:r>
      <w:r w:rsidRPr="007B6667">
        <w:rPr>
          <w:rFonts w:ascii="Times New Roman" w:eastAsia="標楷體" w:hAnsi="Times New Roman"/>
          <w:sz w:val="20"/>
          <w:szCs w:val="20"/>
        </w:rPr>
        <w:t>個定為高流量，最後分別找出</w:t>
      </w:r>
      <w:r w:rsidRPr="007B6667">
        <w:rPr>
          <w:rFonts w:ascii="Times New Roman" w:eastAsia="標楷體" w:hAnsi="Times New Roman"/>
          <w:sz w:val="20"/>
          <w:szCs w:val="20"/>
        </w:rPr>
        <w:t>2-10</w:t>
      </w:r>
      <w:r w:rsidRPr="007B6667">
        <w:rPr>
          <w:rFonts w:ascii="Times New Roman" w:eastAsia="標楷體" w:hAnsi="Times New Roman"/>
          <w:sz w:val="20"/>
          <w:szCs w:val="20"/>
        </w:rPr>
        <w:t>年與</w:t>
      </w:r>
      <w:r w:rsidRPr="007B6667">
        <w:rPr>
          <w:rFonts w:ascii="Times New Roman" w:eastAsia="標楷體" w:hAnsi="Times New Roman"/>
          <w:sz w:val="20"/>
          <w:szCs w:val="20"/>
        </w:rPr>
        <w:t>10</w:t>
      </w:r>
      <w:r w:rsidRPr="007B6667">
        <w:rPr>
          <w:rFonts w:ascii="Times New Roman" w:eastAsia="標楷體" w:hAnsi="Times New Roman"/>
          <w:sz w:val="20"/>
          <w:szCs w:val="20"/>
        </w:rPr>
        <w:t>年洪水事件定為小洪水和大洪水級別，如圖</w:t>
      </w:r>
      <w:r w:rsidRPr="007B6667">
        <w:rPr>
          <w:rFonts w:ascii="Times New Roman" w:eastAsia="標楷體" w:hAnsi="Times New Roman"/>
          <w:sz w:val="20"/>
          <w:szCs w:val="20"/>
        </w:rPr>
        <w:t>2</w:t>
      </w:r>
      <w:r w:rsidRPr="007B6667">
        <w:rPr>
          <w:rFonts w:ascii="Times New Roman" w:eastAsia="標楷體" w:hAnsi="Times New Roman"/>
          <w:sz w:val="20"/>
          <w:szCs w:val="20"/>
        </w:rPr>
        <w:t>與表</w:t>
      </w:r>
      <w:r w:rsidRPr="007B6667">
        <w:rPr>
          <w:rFonts w:ascii="Times New Roman" w:eastAsia="標楷體" w:hAnsi="Times New Roman"/>
          <w:sz w:val="20"/>
          <w:szCs w:val="20"/>
        </w:rPr>
        <w:t>1</w:t>
      </w:r>
      <w:r w:rsidRPr="007B6667">
        <w:rPr>
          <w:rFonts w:ascii="Times New Roman" w:eastAsia="標楷體" w:hAnsi="Times New Roman"/>
          <w:sz w:val="20"/>
          <w:szCs w:val="20"/>
        </w:rPr>
        <w:t>所示，各分級中涵蓋了量、頻率、延時、時間及變化率五個流態特性的數學統計量，應用方法與水文改變指標相同。</w:t>
      </w:r>
    </w:p>
    <w:p w:rsidR="00E94056" w:rsidRPr="007B6667" w:rsidRDefault="00F92642" w:rsidP="007B6667">
      <w:pPr>
        <w:pStyle w:val="a8"/>
        <w:spacing w:beforeLines="50" w:before="120"/>
        <w:ind w:leftChars="0" w:left="0"/>
        <w:jc w:val="center"/>
        <w:rPr>
          <w:rFonts w:ascii="Times New Roman" w:eastAsia="標楷體" w:hAnsi="Times New Roman"/>
          <w:sz w:val="20"/>
          <w:szCs w:val="20"/>
        </w:rPr>
      </w:pPr>
      <w:r w:rsidRPr="007B6667">
        <w:rPr>
          <w:rFonts w:ascii="Times New Roman" w:eastAsia="標楷體" w:hAnsi="Times New Roman"/>
          <w:noProof/>
          <w:sz w:val="20"/>
          <w:szCs w:val="20"/>
        </w:rPr>
        <w:drawing>
          <wp:inline distT="0" distB="0" distL="0" distR="0" wp14:anchorId="3FDE2AEB" wp14:editId="49215AA1">
            <wp:extent cx="2924719" cy="1257300"/>
            <wp:effectExtent l="0" t="0" r="9525"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6334" cy="1257994"/>
                    </a:xfrm>
                    <a:prstGeom prst="rect">
                      <a:avLst/>
                    </a:prstGeom>
                    <a:noFill/>
                    <a:ln>
                      <a:noFill/>
                    </a:ln>
                  </pic:spPr>
                </pic:pic>
              </a:graphicData>
            </a:graphic>
          </wp:inline>
        </w:drawing>
      </w:r>
    </w:p>
    <w:p w:rsidR="00CB13B5" w:rsidRDefault="00E94056" w:rsidP="007B6667">
      <w:pPr>
        <w:spacing w:beforeLines="50" w:before="120"/>
        <w:jc w:val="center"/>
        <w:rPr>
          <w:rFonts w:eastAsia="標楷體"/>
          <w:b/>
          <w:sz w:val="20"/>
          <w:szCs w:val="20"/>
        </w:rPr>
      </w:pPr>
      <w:r w:rsidRPr="007B6667">
        <w:rPr>
          <w:rFonts w:eastAsia="標楷體"/>
          <w:b/>
          <w:sz w:val="20"/>
          <w:szCs w:val="20"/>
        </w:rPr>
        <w:t>圖</w:t>
      </w:r>
      <w:r w:rsidRPr="007B6667">
        <w:rPr>
          <w:rFonts w:eastAsia="標楷體"/>
          <w:b/>
          <w:sz w:val="20"/>
          <w:szCs w:val="20"/>
        </w:rPr>
        <w:t xml:space="preserve">2 </w:t>
      </w:r>
      <w:r w:rsidRPr="007B6667">
        <w:rPr>
          <w:rFonts w:eastAsia="標楷體"/>
          <w:b/>
          <w:sz w:val="20"/>
          <w:szCs w:val="20"/>
        </w:rPr>
        <w:t>環境流態因子分級示意圖</w:t>
      </w:r>
    </w:p>
    <w:p w:rsidR="0017717B" w:rsidRDefault="0017717B" w:rsidP="007B6667">
      <w:pPr>
        <w:spacing w:beforeLines="50" w:before="120"/>
        <w:jc w:val="center"/>
        <w:rPr>
          <w:rFonts w:eastAsia="標楷體"/>
          <w:b/>
          <w:sz w:val="20"/>
          <w:szCs w:val="20"/>
        </w:rPr>
      </w:pPr>
    </w:p>
    <w:p w:rsidR="0017717B" w:rsidRPr="007B6667" w:rsidRDefault="0017717B" w:rsidP="007B6667">
      <w:pPr>
        <w:spacing w:beforeLines="50" w:before="120"/>
        <w:jc w:val="center"/>
        <w:rPr>
          <w:rFonts w:eastAsia="標楷體"/>
          <w:b/>
          <w:sz w:val="20"/>
          <w:szCs w:val="20"/>
        </w:rPr>
      </w:pPr>
    </w:p>
    <w:p w:rsidR="003B76FA" w:rsidRPr="007B6667" w:rsidRDefault="003B76FA" w:rsidP="00C53FDA">
      <w:pPr>
        <w:spacing w:beforeLines="50" w:before="120" w:afterLines="50" w:after="120"/>
        <w:jc w:val="center"/>
        <w:rPr>
          <w:rFonts w:eastAsia="標楷體"/>
          <w:b/>
          <w:sz w:val="20"/>
          <w:szCs w:val="20"/>
        </w:rPr>
      </w:pPr>
      <w:r w:rsidRPr="007B6667">
        <w:rPr>
          <w:rFonts w:eastAsia="標楷體"/>
          <w:b/>
          <w:sz w:val="20"/>
          <w:szCs w:val="20"/>
        </w:rPr>
        <w:lastRenderedPageBreak/>
        <w:t>表</w:t>
      </w:r>
      <w:r w:rsidR="00FE4491" w:rsidRPr="007B6667">
        <w:rPr>
          <w:rFonts w:eastAsia="標楷體"/>
          <w:b/>
          <w:sz w:val="20"/>
          <w:szCs w:val="20"/>
        </w:rPr>
        <w:t>1</w:t>
      </w:r>
      <w:r w:rsidRPr="007B6667">
        <w:rPr>
          <w:rFonts w:eastAsia="標楷體"/>
          <w:b/>
          <w:sz w:val="20"/>
          <w:szCs w:val="20"/>
        </w:rPr>
        <w:t xml:space="preserve"> </w:t>
      </w:r>
      <w:r w:rsidRPr="007B6667">
        <w:rPr>
          <w:rFonts w:eastAsia="標楷體"/>
          <w:b/>
          <w:sz w:val="20"/>
          <w:szCs w:val="20"/>
        </w:rPr>
        <w:t>環境流態因子</w:t>
      </w:r>
      <w:r w:rsidRPr="007B6667">
        <w:rPr>
          <w:rFonts w:eastAsia="標楷體"/>
          <w:b/>
          <w:sz w:val="20"/>
          <w:szCs w:val="20"/>
        </w:rPr>
        <w:t>(Richter</w:t>
      </w:r>
      <w:r w:rsidRPr="007B6667">
        <w:rPr>
          <w:rFonts w:eastAsia="標楷體"/>
          <w:b/>
          <w:sz w:val="20"/>
          <w:szCs w:val="20"/>
        </w:rPr>
        <w:t>與</w:t>
      </w:r>
      <w:r w:rsidRPr="007B6667">
        <w:rPr>
          <w:rFonts w:eastAsia="標楷體"/>
          <w:b/>
          <w:sz w:val="20"/>
          <w:szCs w:val="20"/>
        </w:rPr>
        <w:t>Thomas</w:t>
      </w:r>
      <w:r w:rsidRPr="007B6667">
        <w:rPr>
          <w:rFonts w:eastAsia="標楷體"/>
          <w:b/>
          <w:sz w:val="20"/>
          <w:szCs w:val="20"/>
        </w:rPr>
        <w:t>，</w:t>
      </w:r>
      <w:r w:rsidRPr="007B6667">
        <w:rPr>
          <w:rFonts w:eastAsia="標楷體"/>
          <w:b/>
          <w:sz w:val="20"/>
          <w:szCs w:val="20"/>
        </w:rPr>
        <w:t>2007)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304"/>
        <w:gridCol w:w="1701"/>
      </w:tblGrid>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環境流態因子</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定義</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水文參數</w:t>
            </w:r>
          </w:p>
        </w:tc>
      </w:tr>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每月低流量</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所有流量較低的</w:t>
            </w:r>
            <w:r w:rsidRPr="007B6667">
              <w:rPr>
                <w:rFonts w:ascii="Times New Roman" w:eastAsia="標楷體" w:hAnsi="Times New Roman"/>
                <w:sz w:val="20"/>
                <w:szCs w:val="20"/>
              </w:rPr>
              <w:t>50%</w:t>
            </w:r>
            <w:r w:rsidRPr="007B6667">
              <w:rPr>
                <w:rFonts w:ascii="Times New Roman" w:eastAsia="標楷體" w:hAnsi="Times New Roman"/>
                <w:sz w:val="20"/>
                <w:szCs w:val="20"/>
              </w:rPr>
              <w:t>個</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12</w:t>
            </w:r>
            <w:r w:rsidRPr="007B6667">
              <w:rPr>
                <w:rFonts w:ascii="Times New Roman" w:eastAsia="標楷體" w:hAnsi="Times New Roman"/>
                <w:sz w:val="20"/>
                <w:szCs w:val="20"/>
              </w:rPr>
              <w:t>個月每月低流量的平均值</w:t>
            </w:r>
          </w:p>
        </w:tc>
      </w:tr>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極端低流量</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每月低流量中最低的</w:t>
            </w:r>
            <w:r w:rsidRPr="007B6667">
              <w:rPr>
                <w:rFonts w:ascii="Times New Roman" w:eastAsia="標楷體" w:hAnsi="Times New Roman"/>
                <w:sz w:val="20"/>
                <w:szCs w:val="20"/>
              </w:rPr>
              <w:t>10%</w:t>
            </w:r>
            <w:r w:rsidRPr="007B6667">
              <w:rPr>
                <w:rFonts w:ascii="Times New Roman" w:eastAsia="標楷體" w:hAnsi="Times New Roman"/>
                <w:sz w:val="20"/>
                <w:szCs w:val="20"/>
              </w:rPr>
              <w:t>個</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最小流量、</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頻率、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延時、</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發生時間</w:t>
            </w:r>
          </w:p>
        </w:tc>
      </w:tr>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高流量</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所有流量的</w:t>
            </w:r>
            <w:r w:rsidRPr="007B6667">
              <w:rPr>
                <w:rFonts w:ascii="Times New Roman" w:eastAsia="標楷體" w:hAnsi="Times New Roman"/>
                <w:sz w:val="20"/>
                <w:szCs w:val="20"/>
              </w:rPr>
              <w:t>50%</w:t>
            </w:r>
            <w:r w:rsidRPr="007B6667">
              <w:rPr>
                <w:rFonts w:ascii="Times New Roman" w:eastAsia="標楷體" w:hAnsi="Times New Roman"/>
                <w:sz w:val="20"/>
                <w:szCs w:val="20"/>
              </w:rPr>
              <w:t>到</w:t>
            </w:r>
            <w:r w:rsidRPr="007B6667">
              <w:rPr>
                <w:rFonts w:ascii="Times New Roman" w:eastAsia="標楷體" w:hAnsi="Times New Roman"/>
                <w:sz w:val="20"/>
                <w:szCs w:val="20"/>
              </w:rPr>
              <w:t>75%</w:t>
            </w:r>
            <w:r w:rsidRPr="007B6667">
              <w:rPr>
                <w:rFonts w:ascii="Times New Roman" w:eastAsia="標楷體" w:hAnsi="Times New Roman"/>
                <w:sz w:val="20"/>
                <w:szCs w:val="20"/>
              </w:rPr>
              <w:t>個</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最大流量、</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頻率、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延時、</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發生時間、</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上升變化率、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kern w:val="0"/>
                <w:sz w:val="20"/>
                <w:szCs w:val="20"/>
              </w:rPr>
              <w:t>下降變化率</w:t>
            </w:r>
          </w:p>
        </w:tc>
      </w:tr>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小洪水</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2-10</w:t>
            </w:r>
            <w:r w:rsidRPr="007B6667">
              <w:rPr>
                <w:rFonts w:ascii="Times New Roman" w:eastAsia="標楷體" w:hAnsi="Times New Roman"/>
                <w:sz w:val="20"/>
                <w:szCs w:val="20"/>
              </w:rPr>
              <w:t>年頻率的洪水事件</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最大流量、</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頻率、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延時、</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發生時間、</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上升變化率、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kern w:val="0"/>
                <w:sz w:val="20"/>
                <w:szCs w:val="20"/>
              </w:rPr>
              <w:t>下降變化率</w:t>
            </w:r>
          </w:p>
        </w:tc>
      </w:tr>
      <w:tr w:rsidR="00B567F2" w:rsidRPr="007B6667" w:rsidTr="000A42E7">
        <w:trPr>
          <w:jc w:val="center"/>
        </w:trPr>
        <w:tc>
          <w:tcPr>
            <w:tcW w:w="1418"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大洪水</w:t>
            </w:r>
          </w:p>
        </w:tc>
        <w:tc>
          <w:tcPr>
            <w:tcW w:w="1304"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10</w:t>
            </w:r>
            <w:r w:rsidRPr="007B6667">
              <w:rPr>
                <w:rFonts w:ascii="Times New Roman" w:eastAsia="標楷體" w:hAnsi="Times New Roman"/>
                <w:sz w:val="20"/>
                <w:szCs w:val="20"/>
              </w:rPr>
              <w:t>年頻率的洪水事件</w:t>
            </w:r>
          </w:p>
        </w:tc>
        <w:tc>
          <w:tcPr>
            <w:tcW w:w="1701" w:type="dxa"/>
          </w:tcPr>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最大流量、</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頻率、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延時、</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發生時間、</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sz w:val="20"/>
                <w:szCs w:val="20"/>
              </w:rPr>
              <w:t>上升變化率、</w:t>
            </w:r>
          </w:p>
          <w:p w:rsidR="00B567F2" w:rsidRPr="007B6667" w:rsidRDefault="00B567F2" w:rsidP="007B6667">
            <w:pPr>
              <w:pStyle w:val="a8"/>
              <w:ind w:leftChars="0" w:left="0"/>
              <w:rPr>
                <w:rFonts w:ascii="Times New Roman" w:eastAsia="標楷體" w:hAnsi="Times New Roman"/>
                <w:sz w:val="20"/>
                <w:szCs w:val="20"/>
              </w:rPr>
            </w:pPr>
            <w:r w:rsidRPr="007B6667">
              <w:rPr>
                <w:rFonts w:ascii="Times New Roman" w:eastAsia="標楷體" w:hAnsi="Times New Roman"/>
                <w:kern w:val="0"/>
                <w:sz w:val="20"/>
                <w:szCs w:val="20"/>
              </w:rPr>
              <w:t>下降變化率</w:t>
            </w:r>
          </w:p>
        </w:tc>
      </w:tr>
    </w:tbl>
    <w:p w:rsidR="00B567F2" w:rsidRPr="007B6667" w:rsidRDefault="00FE4491" w:rsidP="007B6667">
      <w:pPr>
        <w:spacing w:beforeLines="50" w:before="120"/>
        <w:rPr>
          <w:rFonts w:eastAsia="標楷體"/>
          <w:sz w:val="20"/>
          <w:szCs w:val="20"/>
        </w:rPr>
      </w:pPr>
      <w:r w:rsidRPr="007B6667">
        <w:rPr>
          <w:rFonts w:eastAsia="標楷體"/>
          <w:sz w:val="20"/>
          <w:szCs w:val="20"/>
        </w:rPr>
        <w:t xml:space="preserve">2.3 </w:t>
      </w:r>
      <w:r w:rsidRPr="007B6667">
        <w:rPr>
          <w:rFonts w:eastAsia="標楷體"/>
          <w:sz w:val="20"/>
          <w:szCs w:val="20"/>
        </w:rPr>
        <w:t>遺傳演算法</w:t>
      </w:r>
    </w:p>
    <w:p w:rsidR="00426995" w:rsidRPr="007B6667" w:rsidRDefault="00426995" w:rsidP="007B6667">
      <w:pPr>
        <w:spacing w:beforeLines="50" w:before="120"/>
        <w:ind w:firstLineChars="200" w:firstLine="400"/>
        <w:jc w:val="both"/>
        <w:rPr>
          <w:rFonts w:eastAsia="標楷體"/>
          <w:sz w:val="20"/>
          <w:szCs w:val="20"/>
        </w:rPr>
      </w:pPr>
      <w:r w:rsidRPr="007B6667">
        <w:rPr>
          <w:rFonts w:eastAsia="標楷體"/>
          <w:sz w:val="20"/>
          <w:szCs w:val="20"/>
        </w:rPr>
        <w:t>遺傳演算法是一種人工智慧，最早於</w:t>
      </w:r>
      <w:r w:rsidRPr="007B6667">
        <w:rPr>
          <w:rFonts w:eastAsia="標楷體"/>
          <w:sz w:val="20"/>
          <w:szCs w:val="20"/>
        </w:rPr>
        <w:t>1975</w:t>
      </w:r>
      <w:r w:rsidRPr="007B6667">
        <w:rPr>
          <w:rFonts w:eastAsia="標楷體"/>
          <w:sz w:val="20"/>
          <w:szCs w:val="20"/>
        </w:rPr>
        <w:t>年由美國密西根大學的</w:t>
      </w:r>
      <w:r w:rsidRPr="007B6667">
        <w:rPr>
          <w:rFonts w:eastAsia="標楷體"/>
          <w:sz w:val="20"/>
          <w:szCs w:val="20"/>
        </w:rPr>
        <w:t>Holland</w:t>
      </w:r>
      <w:r w:rsidRPr="007B6667">
        <w:rPr>
          <w:rFonts w:eastAsia="標楷體"/>
          <w:sz w:val="20"/>
          <w:szCs w:val="20"/>
        </w:rPr>
        <w:t>所提出，是模擬自然界生物遺傳演化方式而建立的一套最佳化方法，發展至今已被廣泛用於各個領域。使用遺傳演算法需要的假設條件較少，不用依賴函數的數學特性，這些特點使其更具可應用性且更強大</w:t>
      </w:r>
      <w:r w:rsidRPr="007B6667">
        <w:rPr>
          <w:rFonts w:eastAsia="標楷體"/>
          <w:sz w:val="20"/>
          <w:szCs w:val="20"/>
        </w:rPr>
        <w:t>(</w:t>
      </w:r>
      <w:proofErr w:type="spellStart"/>
      <w:r w:rsidRPr="007B6667">
        <w:rPr>
          <w:rFonts w:eastAsia="標楷體"/>
          <w:sz w:val="20"/>
          <w:szCs w:val="20"/>
        </w:rPr>
        <w:t>Liong</w:t>
      </w:r>
      <w:proofErr w:type="spellEnd"/>
      <w:r w:rsidRPr="007B6667">
        <w:rPr>
          <w:rFonts w:eastAsia="標楷體"/>
          <w:sz w:val="20"/>
          <w:szCs w:val="20"/>
        </w:rPr>
        <w:t>等人，</w:t>
      </w:r>
      <w:r w:rsidRPr="007B6667">
        <w:rPr>
          <w:rFonts w:eastAsia="標楷體"/>
          <w:sz w:val="20"/>
          <w:szCs w:val="20"/>
        </w:rPr>
        <w:t>1995</w:t>
      </w:r>
      <w:r w:rsidRPr="007B6667">
        <w:rPr>
          <w:rFonts w:eastAsia="標楷體"/>
          <w:sz w:val="20"/>
          <w:szCs w:val="20"/>
        </w:rPr>
        <w:t>；</w:t>
      </w:r>
      <w:r w:rsidRPr="007B6667">
        <w:rPr>
          <w:rFonts w:eastAsia="標楷體"/>
          <w:sz w:val="20"/>
          <w:szCs w:val="20"/>
        </w:rPr>
        <w:t>Goldberg</w:t>
      </w:r>
      <w:r w:rsidRPr="007B6667">
        <w:rPr>
          <w:rFonts w:eastAsia="標楷體"/>
          <w:sz w:val="20"/>
          <w:szCs w:val="20"/>
        </w:rPr>
        <w:t>，</w:t>
      </w:r>
      <w:r w:rsidRPr="007B6667">
        <w:rPr>
          <w:rFonts w:eastAsia="標楷體"/>
          <w:sz w:val="20"/>
          <w:szCs w:val="20"/>
        </w:rPr>
        <w:t>1999)</w:t>
      </w:r>
      <w:r w:rsidRPr="007B6667">
        <w:rPr>
          <w:rFonts w:eastAsia="標楷體"/>
          <w:sz w:val="20"/>
          <w:szCs w:val="20"/>
        </w:rPr>
        <w:t>。其在水資源上的運用，如</w:t>
      </w:r>
      <w:r w:rsidRPr="007B6667">
        <w:rPr>
          <w:rFonts w:eastAsia="標楷體"/>
          <w:sz w:val="20"/>
          <w:szCs w:val="20"/>
        </w:rPr>
        <w:t>Cheng</w:t>
      </w:r>
      <w:r w:rsidRPr="007B6667">
        <w:rPr>
          <w:rFonts w:eastAsia="標楷體"/>
          <w:sz w:val="20"/>
          <w:szCs w:val="20"/>
        </w:rPr>
        <w:t>等人</w:t>
      </w:r>
      <w:r w:rsidRPr="007B6667">
        <w:rPr>
          <w:rFonts w:eastAsia="標楷體"/>
          <w:sz w:val="20"/>
          <w:szCs w:val="20"/>
        </w:rPr>
        <w:t>(2005)</w:t>
      </w:r>
      <w:r w:rsidRPr="007B6667">
        <w:rPr>
          <w:rFonts w:eastAsia="標楷體"/>
          <w:sz w:val="20"/>
          <w:szCs w:val="20"/>
        </w:rPr>
        <w:t>結合遺傳演算法與模糊演算法，改善一個電腦群組上概念性的降雨逕流模式的品質與效能，可以有效地減少整體的最佳化時間與產生更適合於觀測資料的結果；</w:t>
      </w:r>
      <w:proofErr w:type="spellStart"/>
      <w:r w:rsidRPr="007B6667">
        <w:rPr>
          <w:rFonts w:eastAsia="標楷體"/>
          <w:sz w:val="20"/>
          <w:szCs w:val="20"/>
        </w:rPr>
        <w:t>Hejazi</w:t>
      </w:r>
      <w:proofErr w:type="spellEnd"/>
      <w:r w:rsidRPr="007B6667">
        <w:rPr>
          <w:rFonts w:eastAsia="標楷體"/>
          <w:sz w:val="20"/>
          <w:szCs w:val="20"/>
        </w:rPr>
        <w:t>等人</w:t>
      </w:r>
      <w:r w:rsidRPr="007B6667">
        <w:rPr>
          <w:rFonts w:eastAsia="標楷體"/>
          <w:sz w:val="20"/>
          <w:szCs w:val="20"/>
        </w:rPr>
        <w:t>(2008)</w:t>
      </w:r>
      <w:r w:rsidRPr="007B6667">
        <w:rPr>
          <w:rFonts w:eastAsia="標楷體"/>
          <w:sz w:val="20"/>
          <w:szCs w:val="20"/>
        </w:rPr>
        <w:t>應用多目標遺傳演算法驗證一個暴雨事件分佈模式，顯示有使用者干預的驗證程序能得到較好的效能並產生合理的模式參數；</w:t>
      </w:r>
      <w:proofErr w:type="spellStart"/>
      <w:r w:rsidRPr="007B6667">
        <w:rPr>
          <w:rFonts w:eastAsia="標楷體"/>
          <w:kern w:val="0"/>
          <w:sz w:val="20"/>
          <w:szCs w:val="20"/>
        </w:rPr>
        <w:t>Tayfur</w:t>
      </w:r>
      <w:proofErr w:type="spellEnd"/>
      <w:r w:rsidRPr="007B6667">
        <w:rPr>
          <w:rFonts w:eastAsia="標楷體"/>
          <w:sz w:val="20"/>
          <w:szCs w:val="20"/>
        </w:rPr>
        <w:t>等人</w:t>
      </w:r>
      <w:r w:rsidRPr="007B6667">
        <w:rPr>
          <w:rFonts w:eastAsia="標楷體"/>
          <w:sz w:val="20"/>
          <w:szCs w:val="20"/>
        </w:rPr>
        <w:t>(2009)</w:t>
      </w:r>
      <w:r w:rsidRPr="007B6667">
        <w:rPr>
          <w:rFonts w:eastAsia="標楷體"/>
          <w:sz w:val="20"/>
          <w:szCs w:val="20"/>
        </w:rPr>
        <w:t>發展的</w:t>
      </w:r>
      <w:r w:rsidRPr="007B6667">
        <w:rPr>
          <w:rFonts w:eastAsia="標楷體"/>
          <w:sz w:val="20"/>
          <w:szCs w:val="20"/>
        </w:rPr>
        <w:t>GA-RCM</w:t>
      </w:r>
      <w:r w:rsidRPr="007B6667">
        <w:rPr>
          <w:rFonts w:eastAsia="標楷體"/>
          <w:sz w:val="20"/>
          <w:szCs w:val="20"/>
        </w:rPr>
        <w:t>模式，在推估側流影響的</w:t>
      </w:r>
      <w:r w:rsidRPr="007B6667">
        <w:rPr>
          <w:rFonts w:eastAsia="標楷體"/>
          <w:sz w:val="20"/>
          <w:szCs w:val="20"/>
        </w:rPr>
        <w:t>RCM (Rating Curve Method)</w:t>
      </w:r>
      <w:r w:rsidRPr="007B6667">
        <w:rPr>
          <w:rFonts w:eastAsia="標楷體"/>
          <w:sz w:val="20"/>
          <w:szCs w:val="20"/>
        </w:rPr>
        <w:t>模式中，加入了遺傳演算法推算</w:t>
      </w:r>
      <w:r w:rsidRPr="007B6667">
        <w:rPr>
          <w:rFonts w:eastAsia="標楷體"/>
          <w:sz w:val="20"/>
          <w:szCs w:val="20"/>
        </w:rPr>
        <w:t>RCM</w:t>
      </w:r>
      <w:r w:rsidRPr="007B6667">
        <w:rPr>
          <w:rFonts w:eastAsia="標楷體"/>
          <w:sz w:val="20"/>
          <w:szCs w:val="20"/>
        </w:rPr>
        <w:t>模式中的參數，在義大利</w:t>
      </w:r>
      <w:r w:rsidRPr="007B6667">
        <w:rPr>
          <w:rFonts w:eastAsia="標楷體"/>
          <w:sz w:val="20"/>
          <w:szCs w:val="20"/>
        </w:rPr>
        <w:t>Upper Tiber River</w:t>
      </w:r>
      <w:r w:rsidRPr="007B6667">
        <w:rPr>
          <w:rFonts w:eastAsia="標楷體"/>
          <w:sz w:val="20"/>
          <w:szCs w:val="20"/>
        </w:rPr>
        <w:t>流域的案例中，</w:t>
      </w:r>
      <w:r w:rsidRPr="007B6667">
        <w:rPr>
          <w:rFonts w:eastAsia="標楷體"/>
          <w:sz w:val="20"/>
          <w:szCs w:val="20"/>
        </w:rPr>
        <w:t>GA-RCM</w:t>
      </w:r>
      <w:r w:rsidRPr="007B6667">
        <w:rPr>
          <w:rFonts w:eastAsia="標楷體"/>
          <w:sz w:val="20"/>
          <w:szCs w:val="20"/>
        </w:rPr>
        <w:t>得到比</w:t>
      </w:r>
      <w:r w:rsidRPr="007B6667">
        <w:rPr>
          <w:rFonts w:eastAsia="標楷體"/>
          <w:sz w:val="20"/>
          <w:szCs w:val="20"/>
        </w:rPr>
        <w:t>RCM</w:t>
      </w:r>
      <w:r w:rsidRPr="007B6667">
        <w:rPr>
          <w:rFonts w:eastAsia="標楷體"/>
          <w:sz w:val="20"/>
          <w:szCs w:val="20"/>
        </w:rPr>
        <w:t>更好的預測結果，該研究中也證明遺傳演算法在外推值的估計上可得到比類神經網路更高的準確度，避免了類神經網路僅適用於推估內插值的缺點。</w:t>
      </w:r>
    </w:p>
    <w:p w:rsidR="00FE4491" w:rsidRPr="007B6667" w:rsidRDefault="00426995" w:rsidP="007B6667">
      <w:pPr>
        <w:spacing w:beforeLines="50" w:before="120"/>
        <w:ind w:firstLineChars="200" w:firstLine="400"/>
        <w:jc w:val="both"/>
        <w:rPr>
          <w:rFonts w:eastAsia="標楷體"/>
          <w:sz w:val="20"/>
          <w:szCs w:val="20"/>
        </w:rPr>
      </w:pPr>
      <w:r w:rsidRPr="007B6667">
        <w:rPr>
          <w:rFonts w:eastAsia="標楷體"/>
          <w:sz w:val="20"/>
          <w:szCs w:val="20"/>
        </w:rPr>
        <w:t>水庫長期操作的規劃問題變數數量多且限制式較為複雜，傳統的線性規劃不易求得最佳解，過去已有許多應用遺傳演算法求解水庫操作問題的研究，如</w:t>
      </w:r>
      <w:r w:rsidRPr="007B6667">
        <w:rPr>
          <w:rFonts w:eastAsia="標楷體"/>
          <w:sz w:val="20"/>
          <w:szCs w:val="20"/>
        </w:rPr>
        <w:t>East</w:t>
      </w:r>
      <w:r w:rsidRPr="007B6667">
        <w:rPr>
          <w:rFonts w:eastAsia="標楷體"/>
          <w:sz w:val="20"/>
          <w:szCs w:val="20"/>
        </w:rPr>
        <w:t>與</w:t>
      </w:r>
      <w:r w:rsidRPr="007B6667">
        <w:rPr>
          <w:rFonts w:eastAsia="標楷體"/>
          <w:sz w:val="20"/>
          <w:szCs w:val="20"/>
        </w:rPr>
        <w:t>Hall(1994)</w:t>
      </w:r>
      <w:r w:rsidRPr="007B6667">
        <w:rPr>
          <w:rFonts w:eastAsia="標楷體"/>
          <w:sz w:val="20"/>
          <w:szCs w:val="20"/>
        </w:rPr>
        <w:t>以遺傳演算法求解一個四水庫系統，此系統是由兩個水庫串聯後和另一水庫並聯，再合流進入下游的一個水庫，其目標為在考量水庫蓄放水條</w:t>
      </w:r>
      <w:r w:rsidRPr="007B6667">
        <w:rPr>
          <w:rFonts w:eastAsia="標楷體"/>
          <w:sz w:val="20"/>
          <w:szCs w:val="20"/>
        </w:rPr>
        <w:lastRenderedPageBreak/>
        <w:t>件的限制下，求得水庫發電效益與供水灌溉的最大利益，該文說明了遺傳演算法於水資源系統分析領域的重要發展潛力，且證明了遺傳演算法的計算技巧優於動態規劃法</w:t>
      </w:r>
      <w:r w:rsidRPr="007B6667">
        <w:rPr>
          <w:rFonts w:eastAsia="標楷體"/>
          <w:sz w:val="20"/>
          <w:szCs w:val="20"/>
        </w:rPr>
        <w:t>(Dynamic programming)</w:t>
      </w:r>
      <w:r w:rsidRPr="007B6667">
        <w:rPr>
          <w:rFonts w:eastAsia="標楷體"/>
          <w:sz w:val="20"/>
          <w:szCs w:val="20"/>
        </w:rPr>
        <w:t>；張麗秋與張斐章</w:t>
      </w:r>
      <w:r w:rsidRPr="007B6667">
        <w:rPr>
          <w:rFonts w:eastAsia="標楷體"/>
          <w:sz w:val="20"/>
          <w:szCs w:val="20"/>
        </w:rPr>
        <w:t>(1999)</w:t>
      </w:r>
      <w:r w:rsidRPr="007B6667">
        <w:rPr>
          <w:rFonts w:eastAsia="標楷體"/>
          <w:sz w:val="20"/>
          <w:szCs w:val="20"/>
        </w:rPr>
        <w:t>在智慧型水庫及時操作控制系統於石門水庫的應用中，利用遺傳演算法搜尋最佳的放流歷程，不僅可以提供建構調式性網路模糊推論系統模式所需之資料，其結果亦顯示水庫操作系統的特性，提供後續之研究與分析；</w:t>
      </w:r>
      <w:r w:rsidRPr="007B6667">
        <w:rPr>
          <w:rFonts w:eastAsia="標楷體"/>
          <w:sz w:val="20"/>
          <w:szCs w:val="20"/>
        </w:rPr>
        <w:t>Suen(2005)</w:t>
      </w:r>
      <w:r w:rsidRPr="007B6667">
        <w:rPr>
          <w:rFonts w:eastAsia="標楷體"/>
          <w:sz w:val="20"/>
          <w:szCs w:val="20"/>
        </w:rPr>
        <w:t>結合中度干擾假說與水文指標，建立生態河川流態的水資源管理概念，用以多目標最佳化於石門水庫之操作中，此水資源管理策略可滿足人類需求，也顧及自然流態的變化特性，為將自然流態變化特性引進水資源管理的重要應用研究</w:t>
      </w:r>
      <w:r w:rsidRPr="007B6667">
        <w:rPr>
          <w:rFonts w:eastAsia="標楷體"/>
          <w:sz w:val="20"/>
          <w:szCs w:val="20"/>
        </w:rPr>
        <w:t>(Suen</w:t>
      </w:r>
      <w:r w:rsidRPr="007B6667">
        <w:rPr>
          <w:rFonts w:eastAsia="標楷體"/>
          <w:sz w:val="20"/>
          <w:szCs w:val="20"/>
        </w:rPr>
        <w:t>與</w:t>
      </w:r>
      <w:r w:rsidRPr="007B6667">
        <w:rPr>
          <w:rFonts w:eastAsia="標楷體"/>
          <w:sz w:val="20"/>
          <w:szCs w:val="20"/>
        </w:rPr>
        <w:t>Eheart</w:t>
      </w:r>
      <w:r w:rsidRPr="007B6667">
        <w:rPr>
          <w:rFonts w:eastAsia="標楷體"/>
          <w:sz w:val="20"/>
          <w:szCs w:val="20"/>
        </w:rPr>
        <w:t>，</w:t>
      </w:r>
      <w:r w:rsidRPr="007B6667">
        <w:rPr>
          <w:rFonts w:eastAsia="標楷體"/>
          <w:sz w:val="20"/>
          <w:szCs w:val="20"/>
        </w:rPr>
        <w:t>2006)</w:t>
      </w:r>
      <w:r w:rsidRPr="007B6667">
        <w:rPr>
          <w:rFonts w:eastAsia="標楷體"/>
          <w:sz w:val="20"/>
          <w:szCs w:val="20"/>
        </w:rPr>
        <w:t>；王瑞鋐</w:t>
      </w:r>
      <w:r w:rsidRPr="007B6667">
        <w:rPr>
          <w:rFonts w:eastAsia="標楷體"/>
          <w:sz w:val="20"/>
          <w:szCs w:val="20"/>
        </w:rPr>
        <w:t>(2009)</w:t>
      </w:r>
      <w:r w:rsidRPr="007B6667">
        <w:rPr>
          <w:rFonts w:eastAsia="標楷體"/>
          <w:sz w:val="20"/>
          <w:szCs w:val="20"/>
        </w:rPr>
        <w:t>應用類神經網路，以流量、雨量、上游水質與量測水質之旬數等為輸入與下游水質為輸出建立水質推估模式，將此模式融合於以遺傳演算法模擬之水庫最佳化操作中，同時考量了下游水質及河川流態因素，在水質、生態與人類三方面提供良好的結合運用。</w:t>
      </w:r>
    </w:p>
    <w:p w:rsidR="00500C0F" w:rsidRPr="007B6667" w:rsidRDefault="00500C0F" w:rsidP="007B6667">
      <w:pPr>
        <w:spacing w:beforeLines="50" w:before="120"/>
        <w:ind w:firstLineChars="200" w:firstLine="400"/>
        <w:jc w:val="both"/>
        <w:rPr>
          <w:rFonts w:eastAsia="標楷體"/>
          <w:color w:val="FF0000"/>
          <w:sz w:val="20"/>
          <w:szCs w:val="20"/>
        </w:rPr>
      </w:pPr>
      <w:r w:rsidRPr="007B6667">
        <w:rPr>
          <w:rFonts w:eastAsia="標楷體"/>
          <w:sz w:val="20"/>
          <w:szCs w:val="20"/>
        </w:rPr>
        <w:t>使用遺傳演算法求解最佳化問題時，必須先確定模式的目標函數、限制條件、決策變數及搜尋空間。以</w:t>
      </w:r>
      <w:r w:rsidRPr="007B6667">
        <w:rPr>
          <w:rFonts w:eastAsia="標楷體"/>
          <w:sz w:val="20"/>
          <w:szCs w:val="20"/>
        </w:rPr>
        <w:t>Holland</w:t>
      </w:r>
      <w:r w:rsidRPr="007B6667">
        <w:rPr>
          <w:rFonts w:eastAsia="標楷體"/>
          <w:sz w:val="20"/>
          <w:szCs w:val="20"/>
        </w:rPr>
        <w:t>（</w:t>
      </w:r>
      <w:r w:rsidRPr="007B6667">
        <w:rPr>
          <w:rFonts w:eastAsia="標楷體"/>
          <w:sz w:val="20"/>
          <w:szCs w:val="20"/>
        </w:rPr>
        <w:t>1975</w:t>
      </w:r>
      <w:r w:rsidRPr="007B6667">
        <w:rPr>
          <w:rFonts w:eastAsia="標楷體"/>
          <w:sz w:val="20"/>
          <w:szCs w:val="20"/>
        </w:rPr>
        <w:t>）提出的演算法為例，模擬生物學中的染色體將決策變數轉換成以０和１表示之二元字串型式，字串中各個位元即相當於基因，再依據目標函數決定此染色體之基因排列狀況的適合度，經由遺傳演算法的三個主要運算元：選擇、交配及突變來推動機制，不斷繁衍出適合度愈高的子代，此法亦被稱為簡單遺傳演算法，演化步驟如下：</w:t>
      </w:r>
    </w:p>
    <w:p w:rsidR="00500C0F" w:rsidRPr="007B6667" w:rsidRDefault="00500C0F" w:rsidP="007B6667">
      <w:pPr>
        <w:pStyle w:val="a8"/>
        <w:numPr>
          <w:ilvl w:val="0"/>
          <w:numId w:val="1"/>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初始：建立初始解族群。</w:t>
      </w:r>
    </w:p>
    <w:p w:rsidR="00500C0F" w:rsidRPr="007B6667" w:rsidRDefault="00500C0F" w:rsidP="007B6667">
      <w:pPr>
        <w:pStyle w:val="a8"/>
        <w:numPr>
          <w:ilvl w:val="0"/>
          <w:numId w:val="1"/>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評估：評估群體的每個個體，當達到設定之評估條件即停止。</w:t>
      </w:r>
    </w:p>
    <w:p w:rsidR="00500C0F" w:rsidRPr="007B6667" w:rsidRDefault="00500C0F" w:rsidP="007B6667">
      <w:pPr>
        <w:pStyle w:val="a8"/>
        <w:numPr>
          <w:ilvl w:val="0"/>
          <w:numId w:val="1"/>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選擇：保留適合度較高的個體。</w:t>
      </w:r>
    </w:p>
    <w:p w:rsidR="00500C0F" w:rsidRPr="007B6667" w:rsidRDefault="00500C0F" w:rsidP="007B6667">
      <w:pPr>
        <w:pStyle w:val="a8"/>
        <w:numPr>
          <w:ilvl w:val="0"/>
          <w:numId w:val="1"/>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遺傳操作：經由交配與突變產生新個體加入群體，得到子代族群。</w:t>
      </w:r>
    </w:p>
    <w:p w:rsidR="00FE4491" w:rsidRPr="007B6667" w:rsidRDefault="00500C0F" w:rsidP="007B6667">
      <w:pPr>
        <w:pStyle w:val="a8"/>
        <w:numPr>
          <w:ilvl w:val="0"/>
          <w:numId w:val="1"/>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重複：重複步驟</w:t>
      </w:r>
      <w:r w:rsidRPr="007B6667">
        <w:rPr>
          <w:rFonts w:ascii="Times New Roman" w:eastAsia="標楷體" w:hAnsi="Times New Roman"/>
          <w:sz w:val="20"/>
          <w:szCs w:val="20"/>
        </w:rPr>
        <w:t>(2)</w:t>
      </w:r>
      <w:r w:rsidRPr="007B6667">
        <w:rPr>
          <w:rFonts w:ascii="Times New Roman" w:eastAsia="標楷體" w:hAnsi="Times New Roman"/>
          <w:sz w:val="20"/>
          <w:szCs w:val="20"/>
        </w:rPr>
        <w:t>到</w:t>
      </w:r>
      <w:r w:rsidRPr="007B6667">
        <w:rPr>
          <w:rFonts w:ascii="Times New Roman" w:eastAsia="標楷體" w:hAnsi="Times New Roman"/>
          <w:sz w:val="20"/>
          <w:szCs w:val="20"/>
        </w:rPr>
        <w:t>(4)</w:t>
      </w:r>
      <w:r w:rsidRPr="007B6667">
        <w:rPr>
          <w:rFonts w:ascii="Times New Roman" w:eastAsia="標楷體" w:hAnsi="Times New Roman"/>
          <w:sz w:val="20"/>
          <w:szCs w:val="20"/>
        </w:rPr>
        <w:t>，直到滿足設定之條件。</w:t>
      </w:r>
    </w:p>
    <w:p w:rsidR="00322A1F" w:rsidRPr="0020109F" w:rsidRDefault="00322A1F" w:rsidP="0020109F">
      <w:pPr>
        <w:pStyle w:val="a8"/>
        <w:numPr>
          <w:ilvl w:val="0"/>
          <w:numId w:val="5"/>
        </w:numPr>
        <w:spacing w:beforeLines="50" w:before="120"/>
        <w:ind w:leftChars="0"/>
        <w:jc w:val="center"/>
        <w:rPr>
          <w:rFonts w:eastAsia="標楷體"/>
          <w:b/>
          <w:sz w:val="22"/>
        </w:rPr>
      </w:pPr>
      <w:r w:rsidRPr="0020109F">
        <w:rPr>
          <w:rFonts w:eastAsia="標楷體"/>
          <w:b/>
          <w:sz w:val="22"/>
        </w:rPr>
        <w:t>研究區域與方法</w:t>
      </w:r>
    </w:p>
    <w:p w:rsidR="00322A1F" w:rsidRPr="007B6667" w:rsidRDefault="00E84470" w:rsidP="007B6667">
      <w:pPr>
        <w:spacing w:beforeLines="50" w:before="120"/>
        <w:jc w:val="both"/>
        <w:rPr>
          <w:rFonts w:eastAsia="標楷體"/>
          <w:sz w:val="20"/>
          <w:szCs w:val="20"/>
        </w:rPr>
      </w:pPr>
      <w:r w:rsidRPr="007B6667">
        <w:rPr>
          <w:rFonts w:eastAsia="標楷體"/>
          <w:sz w:val="20"/>
          <w:szCs w:val="20"/>
        </w:rPr>
        <w:t xml:space="preserve">3.1 </w:t>
      </w:r>
      <w:r w:rsidRPr="007B6667">
        <w:rPr>
          <w:rFonts w:eastAsia="標楷體"/>
          <w:sz w:val="20"/>
          <w:szCs w:val="20"/>
        </w:rPr>
        <w:t>研究區域</w:t>
      </w:r>
    </w:p>
    <w:p w:rsidR="00322A1F" w:rsidRDefault="007642C1" w:rsidP="007B6667">
      <w:pPr>
        <w:spacing w:beforeLines="50" w:before="120"/>
        <w:ind w:firstLineChars="200" w:firstLine="400"/>
        <w:jc w:val="both"/>
        <w:rPr>
          <w:rFonts w:eastAsia="標楷體"/>
          <w:sz w:val="20"/>
          <w:szCs w:val="20"/>
        </w:rPr>
      </w:pPr>
      <w:r w:rsidRPr="007B6667">
        <w:rPr>
          <w:rFonts w:eastAsia="標楷體"/>
          <w:sz w:val="20"/>
          <w:szCs w:val="20"/>
        </w:rPr>
        <w:t>曾文越域引水計畫的開發位置位於高雄縣桃源鄉、三民鄉與嘉義縣大埔鄉，工程項目包括荖濃溪攔河堰工程、東隧道工程、旗山溪跨河工程、西隧道工程、草蘭溪出流工程及各相關工程等，整體工程位置如圖</w:t>
      </w:r>
      <w:r w:rsidRPr="007B6667">
        <w:rPr>
          <w:rFonts w:eastAsia="標楷體"/>
          <w:sz w:val="20"/>
          <w:szCs w:val="20"/>
        </w:rPr>
        <w:t>3</w:t>
      </w:r>
      <w:r w:rsidRPr="007B6667">
        <w:rPr>
          <w:rFonts w:eastAsia="標楷體"/>
          <w:sz w:val="20"/>
          <w:szCs w:val="20"/>
        </w:rPr>
        <w:t>所示。</w:t>
      </w:r>
    </w:p>
    <w:p w:rsidR="004436F3" w:rsidRPr="004436F3" w:rsidRDefault="004436F3" w:rsidP="007B6667">
      <w:pPr>
        <w:spacing w:beforeLines="50" w:before="120"/>
        <w:ind w:firstLineChars="200" w:firstLine="400"/>
        <w:jc w:val="both"/>
        <w:rPr>
          <w:rFonts w:eastAsia="標楷體"/>
          <w:sz w:val="20"/>
          <w:szCs w:val="20"/>
        </w:rPr>
      </w:pPr>
      <w:r w:rsidRPr="007B6667">
        <w:rPr>
          <w:rFonts w:eastAsia="標楷體"/>
          <w:sz w:val="20"/>
          <w:szCs w:val="20"/>
        </w:rPr>
        <w:t>荖濃溪為高屏溪水系之主流，流域面積</w:t>
      </w:r>
      <w:r w:rsidRPr="007B6667">
        <w:rPr>
          <w:rFonts w:eastAsia="標楷體"/>
          <w:sz w:val="20"/>
          <w:szCs w:val="20"/>
        </w:rPr>
        <w:t>1,372</w:t>
      </w:r>
      <w:r w:rsidRPr="007B6667">
        <w:rPr>
          <w:rFonts w:eastAsia="標楷體"/>
          <w:sz w:val="20"/>
          <w:szCs w:val="20"/>
        </w:rPr>
        <w:t>平方公里，荖濃溪攔河堰引水對於堰址處荖濃溪逕流量之影響，就長期而言，估計全年的引水量約佔荖濃溪逕流量的</w:t>
      </w:r>
      <w:r w:rsidRPr="007B6667">
        <w:rPr>
          <w:rFonts w:eastAsia="標楷體"/>
          <w:sz w:val="20"/>
          <w:szCs w:val="20"/>
        </w:rPr>
        <w:t>17.00%</w:t>
      </w:r>
      <w:r w:rsidRPr="007B6667">
        <w:rPr>
          <w:rFonts w:eastAsia="標楷體"/>
          <w:sz w:val="20"/>
          <w:szCs w:val="20"/>
        </w:rPr>
        <w:t>，佔高屏溪逕流量的</w:t>
      </w:r>
      <w:r w:rsidRPr="007B6667">
        <w:rPr>
          <w:rFonts w:eastAsia="標楷體"/>
          <w:sz w:val="20"/>
          <w:szCs w:val="20"/>
        </w:rPr>
        <w:t>3.49%(</w:t>
      </w:r>
      <w:r w:rsidRPr="007B6667">
        <w:rPr>
          <w:rFonts w:eastAsia="標楷體"/>
          <w:sz w:val="20"/>
          <w:szCs w:val="20"/>
        </w:rPr>
        <w:t>經濟部水利處水利規劃試驗所，</w:t>
      </w:r>
      <w:r w:rsidRPr="007B6667">
        <w:rPr>
          <w:rFonts w:eastAsia="標楷體"/>
          <w:sz w:val="20"/>
          <w:szCs w:val="20"/>
        </w:rPr>
        <w:t>2000)</w:t>
      </w:r>
      <w:r w:rsidRPr="007B6667">
        <w:rPr>
          <w:rFonts w:eastAsia="標楷體"/>
          <w:sz w:val="20"/>
          <w:szCs w:val="20"/>
        </w:rPr>
        <w:t>。營運期間取水原則為：於豐水期將荖濃溪水量引至草蘭溪放流，以供曾文水庫蓄存利用，當流量大於</w:t>
      </w:r>
      <w:smartTag w:uri="urn:schemas-microsoft-com:office:smarttags" w:element="chmetcnv">
        <w:smartTagPr>
          <w:attr w:name="TCSC" w:val="0"/>
          <w:attr w:name="NumberType" w:val="1"/>
          <w:attr w:name="Negative" w:val="False"/>
          <w:attr w:name="HasSpace" w:val="False"/>
          <w:attr w:name="SourceValue" w:val="300"/>
          <w:attr w:name="UnitName" w:val="C"/>
        </w:smartTagPr>
        <w:r w:rsidRPr="007B6667">
          <w:rPr>
            <w:rFonts w:eastAsia="標楷體"/>
            <w:sz w:val="20"/>
            <w:szCs w:val="20"/>
          </w:rPr>
          <w:t>300c</w:t>
        </w:r>
      </w:smartTag>
      <w:r w:rsidRPr="007B6667">
        <w:rPr>
          <w:rFonts w:eastAsia="標楷體"/>
          <w:sz w:val="20"/>
          <w:szCs w:val="20"/>
        </w:rPr>
        <w:t>ms</w:t>
      </w:r>
      <w:r w:rsidRPr="007B6667">
        <w:rPr>
          <w:rFonts w:eastAsia="標楷體"/>
          <w:sz w:val="20"/>
          <w:szCs w:val="20"/>
        </w:rPr>
        <w:t>時考量原水濁度過高問題不予取水，流量小於下游水權量、生態基流量</w:t>
      </w:r>
      <w:r w:rsidRPr="007B6667">
        <w:rPr>
          <w:rFonts w:eastAsia="標楷體"/>
          <w:sz w:val="20"/>
          <w:szCs w:val="20"/>
        </w:rPr>
        <w:lastRenderedPageBreak/>
        <w:t>與河道滲漏保留量三者之合時亦不予取水；堰址處河川流量若大於前述之保留量時，將引取剩餘之河川水量或引水隧道之輸水容量兩者中較小之水量。</w:t>
      </w:r>
    </w:p>
    <w:p w:rsidR="007005E5" w:rsidRPr="007B6667" w:rsidRDefault="00F92642" w:rsidP="004436F3">
      <w:pPr>
        <w:spacing w:beforeLines="50" w:before="120"/>
        <w:jc w:val="center"/>
        <w:rPr>
          <w:rFonts w:eastAsia="標楷體"/>
          <w:noProof/>
          <w:sz w:val="20"/>
          <w:szCs w:val="20"/>
        </w:rPr>
      </w:pPr>
      <w:r w:rsidRPr="007B6667">
        <w:rPr>
          <w:rFonts w:eastAsia="標楷體"/>
          <w:noProof/>
          <w:sz w:val="20"/>
          <w:szCs w:val="20"/>
        </w:rPr>
        <w:drawing>
          <wp:inline distT="0" distB="0" distL="0" distR="0" wp14:anchorId="1F9EA37D" wp14:editId="23F2B373">
            <wp:extent cx="2781300" cy="2143125"/>
            <wp:effectExtent l="0" t="0" r="0" b="9525"/>
            <wp:docPr id="6" name="圖片 4" descr="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11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2143125"/>
                    </a:xfrm>
                    <a:prstGeom prst="rect">
                      <a:avLst/>
                    </a:prstGeom>
                    <a:noFill/>
                    <a:ln>
                      <a:noFill/>
                    </a:ln>
                  </pic:spPr>
                </pic:pic>
              </a:graphicData>
            </a:graphic>
          </wp:inline>
        </w:drawing>
      </w:r>
    </w:p>
    <w:p w:rsidR="007005E5" w:rsidRPr="007B6667" w:rsidRDefault="007005E5" w:rsidP="007B6667">
      <w:pPr>
        <w:spacing w:beforeLines="50" w:before="120"/>
        <w:jc w:val="center"/>
        <w:rPr>
          <w:rFonts w:eastAsia="標楷體"/>
          <w:b/>
          <w:noProof/>
          <w:sz w:val="20"/>
          <w:szCs w:val="20"/>
        </w:rPr>
      </w:pPr>
      <w:r w:rsidRPr="007B6667">
        <w:rPr>
          <w:rFonts w:eastAsia="標楷體"/>
          <w:b/>
          <w:sz w:val="20"/>
          <w:szCs w:val="20"/>
        </w:rPr>
        <w:t>圖</w:t>
      </w:r>
      <w:r w:rsidRPr="007B6667">
        <w:rPr>
          <w:rFonts w:eastAsia="標楷體"/>
          <w:b/>
          <w:sz w:val="20"/>
          <w:szCs w:val="20"/>
        </w:rPr>
        <w:t xml:space="preserve">3 </w:t>
      </w:r>
      <w:r w:rsidRPr="007B6667">
        <w:rPr>
          <w:rFonts w:eastAsia="標楷體"/>
          <w:b/>
          <w:sz w:val="20"/>
          <w:szCs w:val="20"/>
        </w:rPr>
        <w:t>曾文越域引水工程平面圖</w:t>
      </w:r>
    </w:p>
    <w:p w:rsidR="007642C1" w:rsidRPr="007B6667" w:rsidRDefault="00081E7F" w:rsidP="007B6667">
      <w:pPr>
        <w:spacing w:beforeLines="50" w:before="120"/>
        <w:ind w:firstLineChars="200" w:firstLine="400"/>
        <w:jc w:val="both"/>
        <w:rPr>
          <w:rFonts w:eastAsia="標楷體"/>
          <w:sz w:val="20"/>
          <w:szCs w:val="20"/>
        </w:rPr>
      </w:pPr>
      <w:r w:rsidRPr="007B6667">
        <w:rPr>
          <w:rFonts w:eastAsia="標楷體"/>
          <w:sz w:val="20"/>
          <w:szCs w:val="20"/>
        </w:rPr>
        <w:t>曾文水庫位於嘉義縣大埔鄉曾文溪主流上游之柳藤潭峽谷，由經濟部水利署南區水資源局負責操作維護管理，為一多目標水庫，用水標的包括灌溉、工業用水、公共給水、水力發電及防洪，其中水力發電以配合各給水需要為原則，年平均運用水量為</w:t>
      </w:r>
      <w:r w:rsidRPr="007B6667">
        <w:rPr>
          <w:rFonts w:eastAsia="標楷體"/>
          <w:sz w:val="20"/>
          <w:szCs w:val="20"/>
        </w:rPr>
        <w:t>11</w:t>
      </w:r>
      <w:r w:rsidRPr="007B6667">
        <w:rPr>
          <w:rFonts w:eastAsia="標楷體"/>
          <w:sz w:val="20"/>
          <w:szCs w:val="20"/>
        </w:rPr>
        <w:t>億噸。曾文水庫蓄水量之利用運轉，應依水庫運用規線</w:t>
      </w:r>
      <w:r w:rsidRPr="007B6667">
        <w:rPr>
          <w:rFonts w:eastAsia="標楷體"/>
          <w:sz w:val="20"/>
          <w:szCs w:val="20"/>
        </w:rPr>
        <w:t>MT10</w:t>
      </w:r>
      <w:r w:rsidRPr="007B6667">
        <w:rPr>
          <w:rFonts w:eastAsia="標楷體"/>
          <w:sz w:val="20"/>
          <w:szCs w:val="20"/>
        </w:rPr>
        <w:t>規線執行，如圖</w:t>
      </w:r>
      <w:r w:rsidRPr="007B6667">
        <w:rPr>
          <w:rFonts w:eastAsia="標楷體"/>
          <w:sz w:val="20"/>
          <w:szCs w:val="20"/>
        </w:rPr>
        <w:t>4</w:t>
      </w:r>
      <w:r w:rsidRPr="007B6667">
        <w:rPr>
          <w:rFonts w:eastAsia="標楷體"/>
          <w:sz w:val="20"/>
          <w:szCs w:val="20"/>
        </w:rPr>
        <w:t>，</w:t>
      </w:r>
      <w:r w:rsidR="0078665A" w:rsidRPr="007B6667">
        <w:rPr>
          <w:rFonts w:eastAsia="標楷體"/>
          <w:sz w:val="20"/>
          <w:szCs w:val="20"/>
        </w:rPr>
        <w:t>操作</w:t>
      </w:r>
      <w:r w:rsidRPr="007B6667">
        <w:rPr>
          <w:rFonts w:eastAsia="標楷體"/>
          <w:sz w:val="20"/>
          <w:szCs w:val="20"/>
        </w:rPr>
        <w:t>說明如下：</w:t>
      </w:r>
    </w:p>
    <w:p w:rsidR="00081E7F" w:rsidRPr="007B6667" w:rsidRDefault="00081E7F" w:rsidP="007B6667">
      <w:pPr>
        <w:pStyle w:val="a8"/>
        <w:numPr>
          <w:ilvl w:val="0"/>
          <w:numId w:val="2"/>
        </w:numPr>
        <w:spacing w:beforeLines="50" w:before="120"/>
        <w:ind w:leftChars="0" w:left="426" w:hanging="357"/>
        <w:jc w:val="both"/>
        <w:rPr>
          <w:rFonts w:ascii="Times New Roman" w:eastAsia="標楷體" w:hAnsi="Times New Roman"/>
          <w:sz w:val="20"/>
          <w:szCs w:val="20"/>
        </w:rPr>
      </w:pPr>
      <w:r w:rsidRPr="007B6667">
        <w:rPr>
          <w:rFonts w:ascii="Times New Roman" w:eastAsia="標楷體" w:hAnsi="Times New Roman"/>
          <w:sz w:val="20"/>
          <w:szCs w:val="20"/>
        </w:rPr>
        <w:t>蓄水量超過上限時，得視各標的需要，超量供應其需要或洩放，使降至上限水準為止。</w:t>
      </w:r>
    </w:p>
    <w:p w:rsidR="000A42E7" w:rsidRPr="007B6667" w:rsidRDefault="000A42E7" w:rsidP="007B6667">
      <w:pPr>
        <w:pStyle w:val="a8"/>
        <w:numPr>
          <w:ilvl w:val="0"/>
          <w:numId w:val="2"/>
        </w:numPr>
        <w:spacing w:beforeLines="50" w:before="120"/>
        <w:ind w:leftChars="0" w:left="426" w:hanging="357"/>
        <w:jc w:val="both"/>
        <w:rPr>
          <w:rFonts w:ascii="Times New Roman" w:eastAsia="標楷體" w:hAnsi="Times New Roman"/>
          <w:sz w:val="20"/>
          <w:szCs w:val="20"/>
        </w:rPr>
      </w:pPr>
      <w:r w:rsidRPr="007B6667">
        <w:rPr>
          <w:rFonts w:ascii="Times New Roman" w:eastAsia="標楷體" w:hAnsi="Times New Roman"/>
          <w:sz w:val="20"/>
          <w:szCs w:val="20"/>
        </w:rPr>
        <w:t>蓄水量在上限與下限之間時應按各標的基準供水量供應。</w:t>
      </w:r>
    </w:p>
    <w:p w:rsidR="000A42E7" w:rsidRPr="007B6667" w:rsidRDefault="000A42E7" w:rsidP="007B6667">
      <w:pPr>
        <w:pStyle w:val="a8"/>
        <w:numPr>
          <w:ilvl w:val="0"/>
          <w:numId w:val="2"/>
        </w:numPr>
        <w:spacing w:beforeLines="50" w:before="120"/>
        <w:ind w:leftChars="0" w:left="426" w:hanging="357"/>
        <w:jc w:val="both"/>
        <w:rPr>
          <w:rFonts w:ascii="Times New Roman" w:eastAsia="標楷體" w:hAnsi="Times New Roman"/>
          <w:sz w:val="20"/>
          <w:szCs w:val="20"/>
        </w:rPr>
      </w:pPr>
      <w:r w:rsidRPr="007B6667">
        <w:rPr>
          <w:rFonts w:ascii="Times New Roman" w:eastAsia="標楷體" w:hAnsi="Times New Roman"/>
          <w:sz w:val="20"/>
          <w:szCs w:val="20"/>
        </w:rPr>
        <w:t>蓄水量在下限與嚴重下限之間時家用及公共給水按基準供水量供應，農業用水與工業用水水量則按基準供水量之百分之七十五供應。</w:t>
      </w:r>
    </w:p>
    <w:p w:rsidR="000A42E7" w:rsidRPr="007B6667" w:rsidRDefault="000A42E7" w:rsidP="007B6667">
      <w:pPr>
        <w:pStyle w:val="a8"/>
        <w:numPr>
          <w:ilvl w:val="0"/>
          <w:numId w:val="2"/>
        </w:numPr>
        <w:spacing w:beforeLines="50" w:before="120"/>
        <w:ind w:leftChars="0" w:left="426" w:hanging="357"/>
        <w:jc w:val="both"/>
        <w:rPr>
          <w:rFonts w:ascii="Times New Roman" w:eastAsia="標楷體" w:hAnsi="Times New Roman"/>
          <w:sz w:val="20"/>
          <w:szCs w:val="20"/>
        </w:rPr>
      </w:pPr>
      <w:r w:rsidRPr="007B6667">
        <w:rPr>
          <w:rFonts w:ascii="Times New Roman" w:eastAsia="標楷體" w:hAnsi="Times New Roman"/>
          <w:sz w:val="20"/>
          <w:szCs w:val="20"/>
        </w:rPr>
        <w:t>蓄水量在嚴重下限以下時家用及公共給水按基準供水量之百分之八十供應，農業用水與工業用水水量則按基準供水量之百分之五十供應。</w:t>
      </w:r>
    </w:p>
    <w:p w:rsidR="000A42E7" w:rsidRPr="007B6667" w:rsidRDefault="000A42E7" w:rsidP="007B6667">
      <w:pPr>
        <w:spacing w:beforeLines="50" w:before="120"/>
        <w:ind w:firstLineChars="200" w:firstLine="400"/>
        <w:jc w:val="both"/>
        <w:rPr>
          <w:rFonts w:eastAsia="標楷體"/>
          <w:sz w:val="20"/>
          <w:szCs w:val="20"/>
        </w:rPr>
      </w:pPr>
      <w:r w:rsidRPr="007B6667">
        <w:rPr>
          <w:rFonts w:eastAsia="標楷體"/>
          <w:sz w:val="20"/>
          <w:szCs w:val="20"/>
        </w:rPr>
        <w:t>本研究結合荖濃溪堰址與曾文水庫資料，取</w:t>
      </w:r>
      <w:r w:rsidRPr="007B6667">
        <w:rPr>
          <w:rFonts w:eastAsia="標楷體"/>
          <w:sz w:val="20"/>
          <w:szCs w:val="20"/>
        </w:rPr>
        <w:t>1975 ~ 1998</w:t>
      </w:r>
      <w:r w:rsidRPr="007B6667">
        <w:rPr>
          <w:rFonts w:eastAsia="標楷體"/>
          <w:sz w:val="20"/>
          <w:szCs w:val="20"/>
        </w:rPr>
        <w:t>年共</w:t>
      </w:r>
      <w:r w:rsidRPr="007B6667">
        <w:rPr>
          <w:rFonts w:eastAsia="標楷體"/>
          <w:sz w:val="20"/>
          <w:szCs w:val="20"/>
        </w:rPr>
        <w:t>24</w:t>
      </w:r>
      <w:r w:rsidRPr="007B6667">
        <w:rPr>
          <w:rFonts w:eastAsia="標楷體"/>
          <w:sz w:val="20"/>
          <w:szCs w:val="20"/>
        </w:rPr>
        <w:t>年之旬流量做為最佳化模式操作之流量數據。</w:t>
      </w:r>
    </w:p>
    <w:p w:rsidR="00081E7F" w:rsidRPr="007B6667" w:rsidRDefault="00F92642" w:rsidP="007B6667">
      <w:pPr>
        <w:pStyle w:val="a8"/>
        <w:spacing w:beforeLines="50" w:before="120"/>
        <w:ind w:leftChars="0" w:left="0"/>
        <w:jc w:val="center"/>
        <w:rPr>
          <w:rFonts w:ascii="Times New Roman" w:eastAsia="標楷體" w:hAnsi="Times New Roman"/>
          <w:noProof/>
          <w:sz w:val="20"/>
          <w:szCs w:val="20"/>
        </w:rPr>
      </w:pPr>
      <w:r w:rsidRPr="007B6667">
        <w:rPr>
          <w:rFonts w:ascii="Times New Roman" w:eastAsia="標楷體" w:hAnsi="Times New Roman"/>
          <w:noProof/>
          <w:sz w:val="20"/>
          <w:szCs w:val="20"/>
        </w:rPr>
        <w:drawing>
          <wp:inline distT="0" distB="0" distL="0" distR="0" wp14:anchorId="30DB0FBB" wp14:editId="5EF74150">
            <wp:extent cx="2886075" cy="1885950"/>
            <wp:effectExtent l="0" t="0" r="28575" b="38100"/>
            <wp:docPr id="7" name="圖表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81E7F" w:rsidRPr="007B6667" w:rsidRDefault="00081E7F" w:rsidP="007B6667">
      <w:pPr>
        <w:pStyle w:val="a8"/>
        <w:spacing w:beforeLines="50" w:before="120"/>
        <w:ind w:leftChars="0" w:left="0"/>
        <w:jc w:val="center"/>
        <w:rPr>
          <w:rFonts w:ascii="Times New Roman" w:eastAsia="標楷體" w:hAnsi="Times New Roman"/>
          <w:b/>
          <w:sz w:val="20"/>
          <w:szCs w:val="20"/>
        </w:rPr>
      </w:pPr>
      <w:r w:rsidRPr="007B6667">
        <w:rPr>
          <w:rFonts w:ascii="Times New Roman" w:eastAsia="標楷體" w:hAnsi="Times New Roman"/>
          <w:b/>
          <w:sz w:val="20"/>
          <w:szCs w:val="20"/>
        </w:rPr>
        <w:t>圖</w:t>
      </w:r>
      <w:r w:rsidRPr="007B6667">
        <w:rPr>
          <w:rFonts w:ascii="Times New Roman" w:eastAsia="標楷體" w:hAnsi="Times New Roman"/>
          <w:b/>
          <w:sz w:val="20"/>
          <w:szCs w:val="20"/>
        </w:rPr>
        <w:t xml:space="preserve">4 </w:t>
      </w:r>
      <w:r w:rsidRPr="007B6667">
        <w:rPr>
          <w:rFonts w:ascii="Times New Roman" w:eastAsia="標楷體" w:hAnsi="Times New Roman"/>
          <w:b/>
          <w:sz w:val="20"/>
          <w:szCs w:val="20"/>
        </w:rPr>
        <w:t>曾文水庫運用規線圖</w:t>
      </w:r>
    </w:p>
    <w:p w:rsidR="001B7D5B" w:rsidRPr="007B6667" w:rsidRDefault="001B7D5B" w:rsidP="007B6667">
      <w:pPr>
        <w:spacing w:beforeLines="50" w:before="120"/>
        <w:jc w:val="both"/>
        <w:rPr>
          <w:rFonts w:eastAsia="標楷體"/>
          <w:sz w:val="20"/>
          <w:szCs w:val="20"/>
        </w:rPr>
      </w:pPr>
      <w:r w:rsidRPr="007B6667">
        <w:rPr>
          <w:rFonts w:eastAsia="標楷體"/>
          <w:sz w:val="20"/>
          <w:szCs w:val="20"/>
        </w:rPr>
        <w:lastRenderedPageBreak/>
        <w:t xml:space="preserve">3.2 </w:t>
      </w:r>
      <w:r w:rsidRPr="007B6667">
        <w:rPr>
          <w:rFonts w:eastAsia="標楷體"/>
          <w:sz w:val="20"/>
          <w:szCs w:val="20"/>
        </w:rPr>
        <w:t>最佳化模式之建立</w:t>
      </w:r>
    </w:p>
    <w:p w:rsidR="00342E72" w:rsidRPr="007B6667" w:rsidRDefault="00342E72"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t>建立最佳化模式時先要確定目標函數，本研究的最佳化目標有：</w:t>
      </w:r>
    </w:p>
    <w:p w:rsidR="00342E72" w:rsidRPr="007B6667" w:rsidRDefault="00342E72" w:rsidP="007B6667">
      <w:pPr>
        <w:pStyle w:val="a8"/>
        <w:numPr>
          <w:ilvl w:val="0"/>
          <w:numId w:val="3"/>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人類需求：滿足荖濃溪攔河堰下游水權與曾文水庫各用水標的需水量。</w:t>
      </w:r>
    </w:p>
    <w:p w:rsidR="00342E72" w:rsidRPr="007B6667" w:rsidRDefault="00342E72" w:rsidP="007B6667">
      <w:pPr>
        <w:pStyle w:val="a8"/>
        <w:numPr>
          <w:ilvl w:val="0"/>
          <w:numId w:val="3"/>
        </w:numPr>
        <w:spacing w:beforeLines="50" w:before="120"/>
        <w:ind w:leftChars="0" w:left="426"/>
        <w:jc w:val="both"/>
        <w:rPr>
          <w:rFonts w:ascii="Times New Roman" w:eastAsia="標楷體" w:hAnsi="Times New Roman"/>
          <w:sz w:val="20"/>
          <w:szCs w:val="20"/>
        </w:rPr>
      </w:pPr>
      <w:r w:rsidRPr="007B6667">
        <w:rPr>
          <w:rFonts w:ascii="Times New Roman" w:eastAsia="標楷體" w:hAnsi="Times New Roman"/>
          <w:sz w:val="20"/>
          <w:szCs w:val="20"/>
        </w:rPr>
        <w:t>生態環境需求：荖濃溪攔河堰下游與曾文水庫東口導水堰下游的環境流態因子落於門檻標準內的年數接近</w:t>
      </w:r>
      <w:r w:rsidRPr="007B6667">
        <w:rPr>
          <w:rFonts w:ascii="Times New Roman" w:eastAsia="標楷體" w:hAnsi="Times New Roman"/>
          <w:sz w:val="20"/>
          <w:szCs w:val="20"/>
        </w:rPr>
        <w:t>50%(Richter</w:t>
      </w:r>
      <w:r w:rsidRPr="007B6667">
        <w:rPr>
          <w:rFonts w:ascii="Times New Roman" w:eastAsia="標楷體" w:hAnsi="Times New Roman"/>
          <w:sz w:val="20"/>
          <w:szCs w:val="20"/>
        </w:rPr>
        <w:t>等人，</w:t>
      </w:r>
      <w:r w:rsidRPr="007B6667">
        <w:rPr>
          <w:rFonts w:ascii="Times New Roman" w:eastAsia="標楷體" w:hAnsi="Times New Roman"/>
          <w:sz w:val="20"/>
          <w:szCs w:val="20"/>
        </w:rPr>
        <w:t>1997)</w:t>
      </w:r>
      <w:r w:rsidRPr="007B6667">
        <w:rPr>
          <w:rFonts w:ascii="Times New Roman" w:eastAsia="標楷體" w:hAnsi="Times New Roman"/>
          <w:sz w:val="20"/>
          <w:szCs w:val="20"/>
        </w:rPr>
        <w:t>。</w:t>
      </w:r>
    </w:p>
    <w:p w:rsidR="001B7D5B" w:rsidRPr="007B6667" w:rsidRDefault="00AE00C9" w:rsidP="007B6667">
      <w:pPr>
        <w:spacing w:beforeLines="50" w:before="120"/>
        <w:ind w:firstLineChars="200" w:firstLine="400"/>
        <w:jc w:val="both"/>
        <w:rPr>
          <w:rFonts w:eastAsia="標楷體"/>
          <w:sz w:val="20"/>
          <w:szCs w:val="20"/>
        </w:rPr>
      </w:pPr>
      <w:r w:rsidRPr="007B6667">
        <w:rPr>
          <w:rFonts w:eastAsia="標楷體"/>
          <w:sz w:val="20"/>
          <w:szCs w:val="20"/>
        </w:rPr>
        <w:t>最佳化模式操作流程如圖</w:t>
      </w:r>
      <w:r w:rsidRPr="007B6667">
        <w:rPr>
          <w:rFonts w:eastAsia="標楷體"/>
          <w:sz w:val="20"/>
          <w:szCs w:val="20"/>
        </w:rPr>
        <w:t>5</w:t>
      </w:r>
      <w:r w:rsidRPr="007B6667">
        <w:rPr>
          <w:rFonts w:eastAsia="標楷體"/>
          <w:sz w:val="20"/>
          <w:szCs w:val="20"/>
        </w:rPr>
        <w:t>所示，首先蒐集荖濃溪堰址與曾文水庫的流量資料，並由曾文水庫流量資料推估水庫放水口到東口導水堰前的側流量，荖濃溪經過越域引水後，部分水量引到曾文水庫，其餘水量就可以計算荖濃溪的人類缺水目標與環境流態因子；曾文水庫除了原有入流量以外，再加入荖濃溪引水量，水放到東口導水堰後，往烏山頭水庫的部分計算人類缺水目標，往曾文溪下游的部分就加入側流量計算環境流態因子。</w:t>
      </w:r>
    </w:p>
    <w:p w:rsidR="005D18D0" w:rsidRPr="007B6667" w:rsidRDefault="00F92642" w:rsidP="007B6667">
      <w:pPr>
        <w:spacing w:beforeLines="50" w:before="120"/>
        <w:jc w:val="center"/>
        <w:rPr>
          <w:rFonts w:eastAsia="標楷體"/>
          <w:sz w:val="20"/>
          <w:szCs w:val="20"/>
        </w:rPr>
      </w:pPr>
      <w:r w:rsidRPr="007B6667">
        <w:rPr>
          <w:rFonts w:eastAsia="標楷體"/>
          <w:noProof/>
          <w:sz w:val="20"/>
          <w:szCs w:val="20"/>
        </w:rPr>
        <w:drawing>
          <wp:inline distT="0" distB="0" distL="0" distR="0" wp14:anchorId="4E9185BC" wp14:editId="3FC457D0">
            <wp:extent cx="2876550" cy="1805305"/>
            <wp:effectExtent l="0" t="0" r="0" b="444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l="28387" t="32382" r="28859" b="19833"/>
                    <a:stretch>
                      <a:fillRect/>
                    </a:stretch>
                  </pic:blipFill>
                  <pic:spPr bwMode="auto">
                    <a:xfrm>
                      <a:off x="0" y="0"/>
                      <a:ext cx="2876550" cy="1805305"/>
                    </a:xfrm>
                    <a:prstGeom prst="rect">
                      <a:avLst/>
                    </a:prstGeom>
                    <a:noFill/>
                    <a:ln>
                      <a:noFill/>
                    </a:ln>
                  </pic:spPr>
                </pic:pic>
              </a:graphicData>
            </a:graphic>
          </wp:inline>
        </w:drawing>
      </w:r>
    </w:p>
    <w:p w:rsidR="005D18D0" w:rsidRPr="007B6667" w:rsidRDefault="005D18D0" w:rsidP="007B6667">
      <w:pPr>
        <w:spacing w:beforeLines="50" w:before="120"/>
        <w:jc w:val="center"/>
        <w:rPr>
          <w:rFonts w:eastAsia="標楷體"/>
          <w:b/>
          <w:sz w:val="20"/>
          <w:szCs w:val="20"/>
        </w:rPr>
      </w:pPr>
      <w:r w:rsidRPr="007B6667">
        <w:rPr>
          <w:rFonts w:eastAsia="標楷體"/>
          <w:b/>
          <w:sz w:val="20"/>
          <w:szCs w:val="20"/>
        </w:rPr>
        <w:t>圖</w:t>
      </w:r>
      <w:r w:rsidRPr="007B6667">
        <w:rPr>
          <w:rFonts w:eastAsia="標楷體"/>
          <w:b/>
          <w:sz w:val="20"/>
          <w:szCs w:val="20"/>
        </w:rPr>
        <w:t xml:space="preserve">5 </w:t>
      </w:r>
      <w:r w:rsidRPr="007B6667">
        <w:rPr>
          <w:rFonts w:eastAsia="標楷體"/>
          <w:b/>
          <w:sz w:val="20"/>
          <w:szCs w:val="20"/>
        </w:rPr>
        <w:t>最佳化模式操作流程</w:t>
      </w:r>
    </w:p>
    <w:p w:rsidR="001D2A26" w:rsidRPr="007B6667" w:rsidRDefault="001D2A26" w:rsidP="0020109F">
      <w:pPr>
        <w:pStyle w:val="a8"/>
        <w:numPr>
          <w:ilvl w:val="0"/>
          <w:numId w:val="5"/>
        </w:numPr>
        <w:spacing w:beforeLines="50" w:before="120"/>
        <w:ind w:leftChars="0"/>
        <w:jc w:val="center"/>
        <w:rPr>
          <w:rFonts w:eastAsia="標楷體"/>
          <w:b/>
          <w:sz w:val="22"/>
        </w:rPr>
      </w:pPr>
      <w:r w:rsidRPr="007B6667">
        <w:rPr>
          <w:rFonts w:eastAsia="標楷體"/>
          <w:b/>
          <w:sz w:val="22"/>
        </w:rPr>
        <w:t>結果與討論</w:t>
      </w:r>
    </w:p>
    <w:p w:rsidR="00322A1F" w:rsidRPr="007B6667" w:rsidRDefault="00B76F84" w:rsidP="007B6667">
      <w:pPr>
        <w:spacing w:beforeLines="50" w:before="120"/>
        <w:ind w:firstLineChars="200" w:firstLine="400"/>
        <w:jc w:val="both"/>
        <w:rPr>
          <w:rFonts w:eastAsia="標楷體"/>
          <w:sz w:val="20"/>
          <w:szCs w:val="20"/>
        </w:rPr>
      </w:pPr>
      <w:r w:rsidRPr="007B6667">
        <w:rPr>
          <w:rFonts w:eastAsia="標楷體"/>
          <w:sz w:val="20"/>
          <w:szCs w:val="20"/>
        </w:rPr>
        <w:t>本研究最佳化模式的目標包括荖濃溪和曾文水庫兩區域各別的人類需水目標與環境流態因子目標，計算缺水量目標、連續缺水旬數目標與環境流態因子目標各兩組共六個子目標，操作期間為</w:t>
      </w:r>
      <w:r w:rsidR="00CD2CE0" w:rsidRPr="007B6667">
        <w:rPr>
          <w:rFonts w:eastAsia="標楷體"/>
          <w:sz w:val="20"/>
          <w:szCs w:val="20"/>
        </w:rPr>
        <w:t>1975</w:t>
      </w:r>
      <w:r w:rsidRPr="007B6667">
        <w:rPr>
          <w:rFonts w:eastAsia="標楷體"/>
          <w:sz w:val="20"/>
          <w:szCs w:val="20"/>
        </w:rPr>
        <w:t>年到</w:t>
      </w:r>
      <w:r w:rsidR="00CD2CE0" w:rsidRPr="007B6667">
        <w:rPr>
          <w:rFonts w:eastAsia="標楷體"/>
          <w:sz w:val="20"/>
          <w:szCs w:val="20"/>
        </w:rPr>
        <w:t>1998</w:t>
      </w:r>
      <w:r w:rsidRPr="007B6667">
        <w:rPr>
          <w:rFonts w:eastAsia="標楷體"/>
          <w:sz w:val="20"/>
          <w:szCs w:val="20"/>
        </w:rPr>
        <w:t>年，資料的時間單位為旬；本節對模式結果進行分析與討論，比較最佳化模式與原越域引水計畫的取水量、最佳化水庫蓄水規線與</w:t>
      </w:r>
      <w:r w:rsidRPr="007B6667">
        <w:rPr>
          <w:rFonts w:eastAsia="標楷體"/>
          <w:sz w:val="20"/>
          <w:szCs w:val="20"/>
        </w:rPr>
        <w:t>MT10</w:t>
      </w:r>
      <w:r w:rsidRPr="007B6667">
        <w:rPr>
          <w:rFonts w:eastAsia="標楷體"/>
          <w:sz w:val="20"/>
          <w:szCs w:val="20"/>
        </w:rPr>
        <w:t>規線、及其於六個子目標的變化情況，之後再給予六個子目標不同權重分配進行分析。</w:t>
      </w:r>
    </w:p>
    <w:p w:rsidR="00387BA5" w:rsidRPr="007B6667" w:rsidRDefault="00B76F84" w:rsidP="007B6667">
      <w:pPr>
        <w:spacing w:beforeLines="50" w:before="120"/>
        <w:ind w:firstLineChars="200" w:firstLine="400"/>
        <w:jc w:val="both"/>
        <w:rPr>
          <w:rFonts w:eastAsia="標楷體"/>
          <w:sz w:val="20"/>
          <w:szCs w:val="20"/>
        </w:rPr>
      </w:pPr>
      <w:r w:rsidRPr="007B6667">
        <w:rPr>
          <w:rFonts w:eastAsia="標楷體"/>
          <w:sz w:val="20"/>
          <w:szCs w:val="20"/>
        </w:rPr>
        <w:t>模式中六個子目標權重分配如表</w:t>
      </w:r>
      <w:r w:rsidRPr="007B6667">
        <w:rPr>
          <w:rFonts w:eastAsia="標楷體"/>
          <w:sz w:val="20"/>
          <w:szCs w:val="20"/>
        </w:rPr>
        <w:t>2</w:t>
      </w:r>
      <w:r w:rsidRPr="007B6667">
        <w:rPr>
          <w:rFonts w:eastAsia="標楷體"/>
          <w:sz w:val="20"/>
          <w:szCs w:val="20"/>
        </w:rPr>
        <w:t>所示，人類與生態需水考量比例為</w:t>
      </w:r>
      <w:r w:rsidRPr="007B6667">
        <w:rPr>
          <w:rFonts w:eastAsia="標楷體"/>
          <w:sz w:val="20"/>
          <w:szCs w:val="20"/>
        </w:rPr>
        <w:t>6</w:t>
      </w:r>
      <w:r w:rsidRPr="007B6667">
        <w:rPr>
          <w:rFonts w:eastAsia="標楷體"/>
          <w:sz w:val="20"/>
          <w:szCs w:val="20"/>
        </w:rPr>
        <w:t>：</w:t>
      </w:r>
      <w:r w:rsidRPr="007B6667">
        <w:rPr>
          <w:rFonts w:eastAsia="標楷體"/>
          <w:sz w:val="20"/>
          <w:szCs w:val="20"/>
        </w:rPr>
        <w:t>4</w:t>
      </w:r>
      <w:r w:rsidRPr="007B6667">
        <w:rPr>
          <w:rFonts w:eastAsia="標楷體"/>
          <w:sz w:val="20"/>
          <w:szCs w:val="20"/>
        </w:rPr>
        <w:t>，在人類需水方面，由於民國</w:t>
      </w:r>
      <w:r w:rsidRPr="007B6667">
        <w:rPr>
          <w:rFonts w:eastAsia="標楷體"/>
          <w:sz w:val="20"/>
          <w:szCs w:val="20"/>
        </w:rPr>
        <w:t>110</w:t>
      </w:r>
      <w:r w:rsidRPr="007B6667">
        <w:rPr>
          <w:rFonts w:eastAsia="標楷體"/>
          <w:sz w:val="20"/>
          <w:szCs w:val="20"/>
        </w:rPr>
        <w:t>年的需求水量在荖濃溪為</w:t>
      </w:r>
      <w:r w:rsidRPr="007B6667">
        <w:rPr>
          <w:rFonts w:eastAsia="標楷體"/>
          <w:sz w:val="20"/>
          <w:szCs w:val="20"/>
        </w:rPr>
        <w:t>42</w:t>
      </w:r>
      <w:r w:rsidR="00CD2CE0" w:rsidRPr="007B6667">
        <w:rPr>
          <w:rFonts w:eastAsia="標楷體"/>
          <w:sz w:val="20"/>
          <w:szCs w:val="20"/>
        </w:rPr>
        <w:t>,</w:t>
      </w:r>
      <w:r w:rsidRPr="007B6667">
        <w:rPr>
          <w:rFonts w:eastAsia="標楷體"/>
          <w:sz w:val="20"/>
          <w:szCs w:val="20"/>
        </w:rPr>
        <w:t>948</w:t>
      </w:r>
      <w:r w:rsidRPr="007B6667">
        <w:rPr>
          <w:rFonts w:eastAsia="標楷體"/>
          <w:sz w:val="20"/>
          <w:szCs w:val="20"/>
        </w:rPr>
        <w:t>萬立方公尺，在曾文水庫為</w:t>
      </w:r>
      <w:r w:rsidRPr="007B6667">
        <w:rPr>
          <w:rFonts w:eastAsia="標楷體"/>
          <w:sz w:val="20"/>
          <w:szCs w:val="20"/>
        </w:rPr>
        <w:t>126</w:t>
      </w:r>
      <w:r w:rsidR="00CD2CE0" w:rsidRPr="007B6667">
        <w:rPr>
          <w:rFonts w:eastAsia="標楷體"/>
          <w:sz w:val="20"/>
          <w:szCs w:val="20"/>
        </w:rPr>
        <w:t>,</w:t>
      </w:r>
      <w:r w:rsidRPr="007B6667">
        <w:rPr>
          <w:rFonts w:eastAsia="標楷體"/>
          <w:sz w:val="20"/>
          <w:szCs w:val="20"/>
        </w:rPr>
        <w:t>615</w:t>
      </w:r>
      <w:r w:rsidRPr="007B6667">
        <w:rPr>
          <w:rFonts w:eastAsia="標楷體"/>
          <w:sz w:val="20"/>
          <w:szCs w:val="20"/>
        </w:rPr>
        <w:t>萬立方公尺，曾文水庫約為荖濃溪的</w:t>
      </w:r>
      <w:r w:rsidRPr="007B6667">
        <w:rPr>
          <w:rFonts w:eastAsia="標楷體"/>
          <w:sz w:val="20"/>
          <w:szCs w:val="20"/>
        </w:rPr>
        <w:t>3</w:t>
      </w:r>
      <w:r w:rsidRPr="007B6667">
        <w:rPr>
          <w:rFonts w:eastAsia="標楷體"/>
          <w:sz w:val="20"/>
          <w:szCs w:val="20"/>
        </w:rPr>
        <w:t>倍，因此給予曾文水庫</w:t>
      </w:r>
      <w:r w:rsidRPr="007B6667">
        <w:rPr>
          <w:rFonts w:eastAsia="標楷體"/>
          <w:sz w:val="20"/>
          <w:szCs w:val="20"/>
        </w:rPr>
        <w:t>3</w:t>
      </w:r>
      <w:r w:rsidRPr="007B6667">
        <w:rPr>
          <w:rFonts w:eastAsia="標楷體"/>
          <w:sz w:val="20"/>
          <w:szCs w:val="20"/>
        </w:rPr>
        <w:t>倍於荖濃溪的權重值，而人類需水目標又包含了缺水量與連續缺水旬數兩個目標，考量缺水量遠比缺水時間長度對人類產生更多的不舒適感，於是再給定這兩個目標的權重比例為</w:t>
      </w:r>
      <w:r w:rsidRPr="007B6667">
        <w:rPr>
          <w:rFonts w:eastAsia="標楷體"/>
          <w:sz w:val="20"/>
          <w:szCs w:val="20"/>
        </w:rPr>
        <w:t>9</w:t>
      </w:r>
      <w:r w:rsidRPr="007B6667">
        <w:rPr>
          <w:rFonts w:eastAsia="標楷體"/>
          <w:sz w:val="20"/>
          <w:szCs w:val="20"/>
        </w:rPr>
        <w:t>：</w:t>
      </w:r>
      <w:r w:rsidRPr="007B6667">
        <w:rPr>
          <w:rFonts w:eastAsia="標楷體"/>
          <w:sz w:val="20"/>
          <w:szCs w:val="20"/>
        </w:rPr>
        <w:t>1</w:t>
      </w:r>
      <w:r w:rsidRPr="007B6667">
        <w:rPr>
          <w:rFonts w:eastAsia="標楷體"/>
          <w:sz w:val="20"/>
          <w:szCs w:val="20"/>
        </w:rPr>
        <w:t>；生態需水方面，考量到目前的操作中，排放到曾文水庫下游河川的水量並沒有依循自然流態的想法提供有變化的流量，而荖濃溪則還是較為自然的河川，因此模式中給予荖濃溪較大的權重，希望引水</w:t>
      </w:r>
      <w:r w:rsidRPr="007B6667">
        <w:rPr>
          <w:rFonts w:eastAsia="標楷體"/>
          <w:sz w:val="20"/>
          <w:szCs w:val="20"/>
        </w:rPr>
        <w:lastRenderedPageBreak/>
        <w:t>後的荖濃溪仍然可以維持較好的生態環境滿意度。整體來看，荖濃溪與曾</w:t>
      </w:r>
      <w:r w:rsidR="005D18D0" w:rsidRPr="007B6667">
        <w:rPr>
          <w:rFonts w:eastAsia="標楷體"/>
          <w:sz w:val="20"/>
          <w:szCs w:val="20"/>
        </w:rPr>
        <w:t>文水庫所佔比重為</w:t>
      </w:r>
      <w:r w:rsidR="005D18D0" w:rsidRPr="007B6667">
        <w:rPr>
          <w:rFonts w:eastAsia="標楷體"/>
          <w:sz w:val="20"/>
          <w:szCs w:val="20"/>
        </w:rPr>
        <w:t>0.45</w:t>
      </w:r>
      <w:r w:rsidR="005D18D0" w:rsidRPr="007B6667">
        <w:rPr>
          <w:rFonts w:eastAsia="標楷體"/>
          <w:sz w:val="20"/>
          <w:szCs w:val="20"/>
        </w:rPr>
        <w:t>：</w:t>
      </w:r>
      <w:r w:rsidR="005D18D0" w:rsidRPr="007B6667">
        <w:rPr>
          <w:rFonts w:eastAsia="標楷體"/>
          <w:sz w:val="20"/>
          <w:szCs w:val="20"/>
        </w:rPr>
        <w:t>0.55</w:t>
      </w:r>
      <w:r w:rsidR="005D18D0" w:rsidRPr="007B6667">
        <w:rPr>
          <w:rFonts w:eastAsia="標楷體"/>
          <w:sz w:val="20"/>
          <w:szCs w:val="20"/>
        </w:rPr>
        <w:t>。</w:t>
      </w:r>
    </w:p>
    <w:p w:rsidR="00387BA5" w:rsidRPr="007B6667" w:rsidRDefault="00387BA5" w:rsidP="007B6667">
      <w:pPr>
        <w:spacing w:beforeLines="50" w:before="120"/>
        <w:jc w:val="center"/>
        <w:rPr>
          <w:rFonts w:eastAsia="標楷體"/>
          <w:b/>
          <w:sz w:val="20"/>
          <w:szCs w:val="20"/>
        </w:rPr>
      </w:pPr>
      <w:r w:rsidRPr="007B6667">
        <w:rPr>
          <w:rFonts w:eastAsia="標楷體"/>
          <w:b/>
          <w:sz w:val="20"/>
          <w:szCs w:val="20"/>
        </w:rPr>
        <w:t>表</w:t>
      </w:r>
      <w:r w:rsidRPr="007B6667">
        <w:rPr>
          <w:rFonts w:eastAsia="標楷體"/>
          <w:b/>
          <w:sz w:val="20"/>
          <w:szCs w:val="20"/>
        </w:rPr>
        <w:t xml:space="preserve">2 </w:t>
      </w:r>
      <w:r w:rsidRPr="007B6667">
        <w:rPr>
          <w:rFonts w:eastAsia="標楷體"/>
          <w:b/>
          <w:sz w:val="20"/>
          <w:szCs w:val="20"/>
        </w:rPr>
        <w:t>最佳化模式中各權重分配</w:t>
      </w:r>
    </w:p>
    <w:tbl>
      <w:tblPr>
        <w:tblW w:w="5000" w:type="pct"/>
        <w:jc w:val="center"/>
        <w:tblCellMar>
          <w:left w:w="0" w:type="dxa"/>
          <w:right w:w="0" w:type="dxa"/>
        </w:tblCellMar>
        <w:tblLook w:val="04A0" w:firstRow="1" w:lastRow="0" w:firstColumn="1" w:lastColumn="0" w:noHBand="0" w:noVBand="1"/>
      </w:tblPr>
      <w:tblGrid>
        <w:gridCol w:w="892"/>
        <w:gridCol w:w="667"/>
        <w:gridCol w:w="1321"/>
        <w:gridCol w:w="1320"/>
        <w:gridCol w:w="399"/>
      </w:tblGrid>
      <w:tr w:rsidR="00387BA5" w:rsidRPr="007B6667" w:rsidTr="0034320A">
        <w:trPr>
          <w:trHeight w:val="247"/>
          <w:jc w:val="center"/>
        </w:trPr>
        <w:tc>
          <w:tcPr>
            <w:tcW w:w="969" w:type="pct"/>
            <w:tcBorders>
              <w:top w:val="single" w:sz="8" w:space="0" w:color="auto"/>
              <w:left w:val="single" w:sz="8" w:space="0" w:color="auto"/>
              <w:bottom w:val="single" w:sz="4" w:space="0" w:color="auto"/>
              <w:right w:val="single" w:sz="4" w:space="0" w:color="auto"/>
            </w:tcBorders>
            <w:shd w:val="clear" w:color="auto" w:fill="auto"/>
            <w:noWrap/>
            <w:vAlign w:val="bottom"/>
          </w:tcPr>
          <w:p w:rsidR="00387BA5" w:rsidRPr="007B6667" w:rsidRDefault="00387BA5" w:rsidP="007B6667">
            <w:pPr>
              <w:widowControl/>
              <w:rPr>
                <w:rFonts w:eastAsia="標楷體"/>
                <w:kern w:val="0"/>
                <w:sz w:val="20"/>
                <w:szCs w:val="20"/>
              </w:rPr>
            </w:pPr>
          </w:p>
        </w:tc>
        <w:tc>
          <w:tcPr>
            <w:tcW w:w="725" w:type="pct"/>
            <w:tcBorders>
              <w:top w:val="single" w:sz="8" w:space="0" w:color="auto"/>
              <w:left w:val="nil"/>
              <w:bottom w:val="single" w:sz="4" w:space="0" w:color="auto"/>
              <w:right w:val="single" w:sz="4" w:space="0" w:color="auto"/>
            </w:tcBorders>
            <w:shd w:val="clear" w:color="auto" w:fill="auto"/>
            <w:noWrap/>
            <w:vAlign w:val="center"/>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缺水量</w:t>
            </w:r>
          </w:p>
        </w:tc>
        <w:tc>
          <w:tcPr>
            <w:tcW w:w="1435" w:type="pct"/>
            <w:tcBorders>
              <w:top w:val="single" w:sz="8" w:space="0" w:color="auto"/>
              <w:left w:val="nil"/>
              <w:bottom w:val="single" w:sz="4" w:space="0" w:color="auto"/>
              <w:right w:val="single" w:sz="4" w:space="0" w:color="auto"/>
            </w:tcBorders>
            <w:shd w:val="clear" w:color="auto" w:fill="auto"/>
            <w:noWrap/>
            <w:vAlign w:val="center"/>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連續缺水旬數</w:t>
            </w:r>
          </w:p>
        </w:tc>
        <w:tc>
          <w:tcPr>
            <w:tcW w:w="1435" w:type="pct"/>
            <w:tcBorders>
              <w:top w:val="single" w:sz="8" w:space="0" w:color="auto"/>
              <w:left w:val="nil"/>
              <w:bottom w:val="single" w:sz="4" w:space="0" w:color="auto"/>
              <w:right w:val="single" w:sz="4" w:space="0" w:color="auto"/>
            </w:tcBorders>
            <w:shd w:val="clear" w:color="auto" w:fill="auto"/>
            <w:noWrap/>
            <w:vAlign w:val="center"/>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環境流態因子</w:t>
            </w:r>
          </w:p>
        </w:tc>
        <w:tc>
          <w:tcPr>
            <w:tcW w:w="434" w:type="pct"/>
            <w:tcBorders>
              <w:top w:val="single" w:sz="8" w:space="0" w:color="auto"/>
              <w:left w:val="nil"/>
              <w:bottom w:val="single" w:sz="4" w:space="0" w:color="auto"/>
              <w:right w:val="single" w:sz="8" w:space="0" w:color="auto"/>
            </w:tcBorders>
            <w:shd w:val="clear" w:color="auto" w:fill="auto"/>
            <w:noWrap/>
            <w:vAlign w:val="bottom"/>
          </w:tcPr>
          <w:p w:rsidR="00387BA5" w:rsidRPr="007B6667" w:rsidRDefault="00387BA5" w:rsidP="007B6667">
            <w:pPr>
              <w:widowControl/>
              <w:rPr>
                <w:rFonts w:eastAsia="標楷體"/>
                <w:kern w:val="0"/>
                <w:sz w:val="20"/>
                <w:szCs w:val="20"/>
              </w:rPr>
            </w:pPr>
            <w:r w:rsidRPr="007B6667">
              <w:rPr>
                <w:rFonts w:eastAsia="標楷體"/>
                <w:kern w:val="0"/>
                <w:sz w:val="20"/>
                <w:szCs w:val="20"/>
              </w:rPr>
              <w:t xml:space="preserve">　</w:t>
            </w:r>
          </w:p>
        </w:tc>
      </w:tr>
      <w:tr w:rsidR="00387BA5" w:rsidRPr="007B6667" w:rsidTr="0034320A">
        <w:trPr>
          <w:trHeight w:val="247"/>
          <w:jc w:val="center"/>
        </w:trPr>
        <w:tc>
          <w:tcPr>
            <w:tcW w:w="969" w:type="pct"/>
            <w:tcBorders>
              <w:top w:val="nil"/>
              <w:left w:val="single" w:sz="8" w:space="0" w:color="auto"/>
              <w:bottom w:val="single" w:sz="4" w:space="0" w:color="auto"/>
              <w:right w:val="single" w:sz="4" w:space="0" w:color="auto"/>
            </w:tcBorders>
            <w:shd w:val="clear" w:color="auto" w:fill="auto"/>
            <w:noWrap/>
            <w:vAlign w:val="bottom"/>
          </w:tcPr>
          <w:p w:rsidR="00387BA5" w:rsidRPr="007B6667" w:rsidRDefault="00387BA5" w:rsidP="007B6667">
            <w:pPr>
              <w:widowControl/>
              <w:rPr>
                <w:rFonts w:eastAsia="標楷體"/>
                <w:kern w:val="0"/>
                <w:sz w:val="20"/>
                <w:szCs w:val="20"/>
              </w:rPr>
            </w:pPr>
            <w:r w:rsidRPr="007B6667">
              <w:rPr>
                <w:rFonts w:eastAsia="標楷體"/>
                <w:kern w:val="0"/>
                <w:sz w:val="20"/>
                <w:szCs w:val="20"/>
              </w:rPr>
              <w:t>荖濃溪</w:t>
            </w:r>
          </w:p>
        </w:tc>
        <w:tc>
          <w:tcPr>
            <w:tcW w:w="72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0.135</w:t>
            </w:r>
          </w:p>
        </w:tc>
        <w:tc>
          <w:tcPr>
            <w:tcW w:w="143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0.015</w:t>
            </w:r>
          </w:p>
        </w:tc>
        <w:tc>
          <w:tcPr>
            <w:tcW w:w="143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0.3</w:t>
            </w:r>
          </w:p>
        </w:tc>
        <w:tc>
          <w:tcPr>
            <w:tcW w:w="434" w:type="pct"/>
            <w:tcBorders>
              <w:top w:val="nil"/>
              <w:left w:val="nil"/>
              <w:bottom w:val="single" w:sz="4" w:space="0" w:color="auto"/>
              <w:right w:val="single" w:sz="8"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0.45</w:t>
            </w:r>
          </w:p>
        </w:tc>
      </w:tr>
      <w:tr w:rsidR="00387BA5" w:rsidRPr="007B6667" w:rsidTr="0034320A">
        <w:trPr>
          <w:trHeight w:val="247"/>
          <w:jc w:val="center"/>
        </w:trPr>
        <w:tc>
          <w:tcPr>
            <w:tcW w:w="969" w:type="pct"/>
            <w:tcBorders>
              <w:top w:val="nil"/>
              <w:left w:val="single" w:sz="8" w:space="0" w:color="auto"/>
              <w:bottom w:val="single" w:sz="4" w:space="0" w:color="auto"/>
              <w:right w:val="single" w:sz="4" w:space="0" w:color="auto"/>
            </w:tcBorders>
            <w:shd w:val="clear" w:color="auto" w:fill="auto"/>
            <w:noWrap/>
            <w:vAlign w:val="bottom"/>
          </w:tcPr>
          <w:p w:rsidR="00387BA5" w:rsidRPr="007B6667" w:rsidRDefault="00387BA5" w:rsidP="007B6667">
            <w:pPr>
              <w:widowControl/>
              <w:rPr>
                <w:rFonts w:eastAsia="標楷體"/>
                <w:kern w:val="0"/>
                <w:sz w:val="20"/>
                <w:szCs w:val="20"/>
              </w:rPr>
            </w:pPr>
            <w:r w:rsidRPr="007B6667">
              <w:rPr>
                <w:rFonts w:eastAsia="標楷體"/>
                <w:kern w:val="0"/>
                <w:sz w:val="20"/>
                <w:szCs w:val="20"/>
              </w:rPr>
              <w:t>曾文水庫</w:t>
            </w:r>
          </w:p>
        </w:tc>
        <w:tc>
          <w:tcPr>
            <w:tcW w:w="72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0.405</w:t>
            </w:r>
          </w:p>
        </w:tc>
        <w:tc>
          <w:tcPr>
            <w:tcW w:w="143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0.045</w:t>
            </w:r>
          </w:p>
        </w:tc>
        <w:tc>
          <w:tcPr>
            <w:tcW w:w="1435" w:type="pct"/>
            <w:tcBorders>
              <w:top w:val="nil"/>
              <w:left w:val="nil"/>
              <w:bottom w:val="single" w:sz="4"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0.1</w:t>
            </w:r>
          </w:p>
        </w:tc>
        <w:tc>
          <w:tcPr>
            <w:tcW w:w="434" w:type="pct"/>
            <w:tcBorders>
              <w:top w:val="nil"/>
              <w:left w:val="nil"/>
              <w:bottom w:val="single" w:sz="4" w:space="0" w:color="auto"/>
              <w:right w:val="single" w:sz="8"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0.55</w:t>
            </w:r>
          </w:p>
        </w:tc>
      </w:tr>
      <w:tr w:rsidR="00387BA5" w:rsidRPr="007B6667" w:rsidTr="0034320A">
        <w:trPr>
          <w:trHeight w:val="247"/>
          <w:jc w:val="center"/>
        </w:trPr>
        <w:tc>
          <w:tcPr>
            <w:tcW w:w="969" w:type="pct"/>
            <w:tcBorders>
              <w:top w:val="nil"/>
              <w:left w:val="single" w:sz="8" w:space="0" w:color="auto"/>
              <w:bottom w:val="single" w:sz="8" w:space="0" w:color="auto"/>
              <w:right w:val="single" w:sz="4" w:space="0" w:color="auto"/>
            </w:tcBorders>
            <w:shd w:val="clear" w:color="auto" w:fill="auto"/>
            <w:noWrap/>
            <w:vAlign w:val="bottom"/>
          </w:tcPr>
          <w:p w:rsidR="00387BA5" w:rsidRPr="007B6667" w:rsidRDefault="00387BA5" w:rsidP="007B6667">
            <w:pPr>
              <w:widowControl/>
              <w:rPr>
                <w:rFonts w:eastAsia="標楷體"/>
                <w:kern w:val="0"/>
                <w:sz w:val="20"/>
                <w:szCs w:val="20"/>
              </w:rPr>
            </w:pPr>
            <w:r w:rsidRPr="007B6667">
              <w:rPr>
                <w:rFonts w:eastAsia="標楷體"/>
                <w:kern w:val="0"/>
                <w:sz w:val="20"/>
                <w:szCs w:val="20"/>
              </w:rPr>
              <w:t xml:space="preserve">　</w:t>
            </w:r>
          </w:p>
        </w:tc>
        <w:tc>
          <w:tcPr>
            <w:tcW w:w="2161" w:type="pct"/>
            <w:gridSpan w:val="2"/>
            <w:tcBorders>
              <w:top w:val="single" w:sz="4" w:space="0" w:color="auto"/>
              <w:left w:val="nil"/>
              <w:bottom w:val="single" w:sz="8"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0.6</w:t>
            </w:r>
          </w:p>
        </w:tc>
        <w:tc>
          <w:tcPr>
            <w:tcW w:w="1435" w:type="pct"/>
            <w:tcBorders>
              <w:top w:val="nil"/>
              <w:left w:val="nil"/>
              <w:bottom w:val="single" w:sz="8" w:space="0" w:color="auto"/>
              <w:right w:val="single" w:sz="4"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0.4</w:t>
            </w:r>
          </w:p>
        </w:tc>
        <w:tc>
          <w:tcPr>
            <w:tcW w:w="434" w:type="pct"/>
            <w:tcBorders>
              <w:top w:val="nil"/>
              <w:left w:val="nil"/>
              <w:bottom w:val="single" w:sz="8" w:space="0" w:color="auto"/>
              <w:right w:val="single" w:sz="8" w:space="0" w:color="auto"/>
            </w:tcBorders>
            <w:shd w:val="clear" w:color="auto" w:fill="auto"/>
            <w:noWrap/>
            <w:vAlign w:val="bottom"/>
          </w:tcPr>
          <w:p w:rsidR="00387BA5" w:rsidRPr="007B6667" w:rsidRDefault="00387BA5" w:rsidP="007B6667">
            <w:pPr>
              <w:widowControl/>
              <w:jc w:val="center"/>
              <w:rPr>
                <w:rFonts w:eastAsia="標楷體"/>
                <w:kern w:val="0"/>
                <w:sz w:val="20"/>
                <w:szCs w:val="20"/>
              </w:rPr>
            </w:pPr>
            <w:r w:rsidRPr="007B6667">
              <w:rPr>
                <w:rFonts w:eastAsia="標楷體"/>
                <w:kern w:val="0"/>
                <w:sz w:val="20"/>
                <w:szCs w:val="20"/>
              </w:rPr>
              <w:t>1</w:t>
            </w:r>
          </w:p>
        </w:tc>
      </w:tr>
    </w:tbl>
    <w:p w:rsidR="00322A1F" w:rsidRPr="007B6667" w:rsidRDefault="00775289" w:rsidP="007B6667">
      <w:pPr>
        <w:spacing w:beforeLines="50" w:before="120"/>
        <w:ind w:firstLineChars="200" w:firstLine="400"/>
        <w:jc w:val="both"/>
        <w:rPr>
          <w:rFonts w:eastAsia="標楷體"/>
          <w:sz w:val="20"/>
          <w:szCs w:val="20"/>
        </w:rPr>
      </w:pPr>
      <w:r w:rsidRPr="007B6667">
        <w:rPr>
          <w:rFonts w:eastAsia="標楷體"/>
          <w:sz w:val="20"/>
          <w:szCs w:val="20"/>
        </w:rPr>
        <w:t>環境流態因子的選擇上，本研究配合水庫操作以旬做為時間單位，而</w:t>
      </w:r>
      <w:r w:rsidRPr="007B6667">
        <w:rPr>
          <w:rFonts w:eastAsia="標楷體"/>
          <w:sz w:val="20"/>
          <w:szCs w:val="20"/>
        </w:rPr>
        <w:t>Richter</w:t>
      </w:r>
      <w:r w:rsidRPr="007B6667">
        <w:rPr>
          <w:rFonts w:eastAsia="標楷體"/>
          <w:sz w:val="20"/>
          <w:szCs w:val="20"/>
        </w:rPr>
        <w:t>與</w:t>
      </w:r>
      <w:r w:rsidRPr="007B6667">
        <w:rPr>
          <w:rFonts w:eastAsia="標楷體"/>
          <w:sz w:val="20"/>
          <w:szCs w:val="20"/>
        </w:rPr>
        <w:t>Thomas(2007)</w:t>
      </w:r>
      <w:r w:rsidRPr="007B6667">
        <w:rPr>
          <w:rFonts w:eastAsia="標楷體"/>
          <w:sz w:val="20"/>
          <w:szCs w:val="20"/>
        </w:rPr>
        <w:t>所提出的環境流態因子是以日做為時間單位操作，因此對於每月低流量該組因子，本研究以每年豐枯兩期做為區分，計算豐水期低流量平均與枯水期低流量平均取代十二個月的低流量平均；也同樣因為時間單位由日轉變為旬的關係，發生時間的</w:t>
      </w:r>
      <w:r w:rsidRPr="007B6667">
        <w:rPr>
          <w:rFonts w:eastAsia="標楷體"/>
          <w:sz w:val="20"/>
          <w:szCs w:val="20"/>
        </w:rPr>
        <w:t>Julian Date</w:t>
      </w:r>
      <w:r w:rsidRPr="007B6667">
        <w:rPr>
          <w:rFonts w:eastAsia="標楷體"/>
          <w:sz w:val="20"/>
          <w:szCs w:val="20"/>
        </w:rPr>
        <w:t>原本為</w:t>
      </w:r>
      <w:r w:rsidRPr="007B6667">
        <w:rPr>
          <w:rFonts w:eastAsia="標楷體"/>
          <w:sz w:val="20"/>
          <w:szCs w:val="20"/>
        </w:rPr>
        <w:t>1~366</w:t>
      </w:r>
      <w:r w:rsidRPr="007B6667">
        <w:rPr>
          <w:rFonts w:eastAsia="標楷體"/>
          <w:sz w:val="20"/>
          <w:szCs w:val="20"/>
        </w:rPr>
        <w:t>日，在本研究中更改為</w:t>
      </w:r>
      <w:r w:rsidRPr="007B6667">
        <w:rPr>
          <w:rFonts w:eastAsia="標楷體"/>
          <w:sz w:val="20"/>
          <w:szCs w:val="20"/>
        </w:rPr>
        <w:t>1~36</w:t>
      </w:r>
      <w:r w:rsidRPr="007B6667">
        <w:rPr>
          <w:rFonts w:eastAsia="標楷體"/>
          <w:sz w:val="20"/>
          <w:szCs w:val="20"/>
        </w:rPr>
        <w:t>旬；總計本研究選擇的環境流態因子共有</w:t>
      </w:r>
      <w:r w:rsidRPr="007B6667">
        <w:rPr>
          <w:rFonts w:eastAsia="標楷體"/>
          <w:sz w:val="20"/>
          <w:szCs w:val="20"/>
        </w:rPr>
        <w:t>24</w:t>
      </w:r>
      <w:r w:rsidRPr="007B6667">
        <w:rPr>
          <w:rFonts w:eastAsia="標楷體"/>
          <w:sz w:val="20"/>
          <w:szCs w:val="20"/>
        </w:rPr>
        <w:t>個，其中除了每月低流量組減少了</w:t>
      </w:r>
      <w:r w:rsidRPr="007B6667">
        <w:rPr>
          <w:rFonts w:eastAsia="標楷體"/>
          <w:sz w:val="20"/>
          <w:szCs w:val="20"/>
        </w:rPr>
        <w:t>10</w:t>
      </w:r>
      <w:r w:rsidRPr="007B6667">
        <w:rPr>
          <w:rFonts w:eastAsia="標楷體"/>
          <w:sz w:val="20"/>
          <w:szCs w:val="20"/>
        </w:rPr>
        <w:t>個，其餘各組均與</w:t>
      </w:r>
      <w:r w:rsidRPr="007B6667">
        <w:rPr>
          <w:rFonts w:eastAsia="標楷體"/>
          <w:sz w:val="20"/>
          <w:szCs w:val="20"/>
        </w:rPr>
        <w:t>Richter</w:t>
      </w:r>
      <w:r w:rsidRPr="007B6667">
        <w:rPr>
          <w:rFonts w:eastAsia="標楷體"/>
          <w:sz w:val="20"/>
          <w:szCs w:val="20"/>
        </w:rPr>
        <w:t>與</w:t>
      </w:r>
      <w:r w:rsidRPr="007B6667">
        <w:rPr>
          <w:rFonts w:eastAsia="標楷體"/>
          <w:sz w:val="20"/>
          <w:szCs w:val="20"/>
        </w:rPr>
        <w:t>Thomas(2007)</w:t>
      </w:r>
      <w:r w:rsidRPr="007B6667">
        <w:rPr>
          <w:rFonts w:eastAsia="標楷體"/>
          <w:sz w:val="20"/>
          <w:szCs w:val="20"/>
        </w:rPr>
        <w:t>提出的環境流態因子相同。</w:t>
      </w:r>
    </w:p>
    <w:p w:rsidR="00775289" w:rsidRPr="007B6667" w:rsidRDefault="00775289" w:rsidP="007B6667">
      <w:pPr>
        <w:spacing w:beforeLines="50" w:before="120"/>
        <w:ind w:firstLineChars="200" w:firstLine="400"/>
        <w:jc w:val="both"/>
        <w:rPr>
          <w:rFonts w:eastAsia="標楷體"/>
          <w:sz w:val="20"/>
          <w:szCs w:val="20"/>
        </w:rPr>
      </w:pPr>
      <w:r w:rsidRPr="007B6667">
        <w:rPr>
          <w:rFonts w:eastAsia="標楷體"/>
          <w:sz w:val="20"/>
          <w:szCs w:val="20"/>
        </w:rPr>
        <w:t>本最佳化模式結果之引水比例：每旬</w:t>
      </w:r>
      <w:r w:rsidRPr="007B6667">
        <w:rPr>
          <w:rFonts w:eastAsia="標楷體"/>
          <w:sz w:val="20"/>
          <w:szCs w:val="20"/>
        </w:rPr>
        <w:t>0~2</w:t>
      </w:r>
      <w:r w:rsidR="00C34684" w:rsidRPr="007B6667">
        <w:rPr>
          <w:rFonts w:eastAsia="標楷體"/>
          <w:sz w:val="20"/>
          <w:szCs w:val="20"/>
        </w:rPr>
        <w:t>,</w:t>
      </w:r>
      <w:r w:rsidRPr="007B6667">
        <w:rPr>
          <w:rFonts w:eastAsia="標楷體"/>
          <w:sz w:val="20"/>
          <w:szCs w:val="20"/>
        </w:rPr>
        <w:t>000</w:t>
      </w:r>
      <w:r w:rsidRPr="007B6667">
        <w:rPr>
          <w:rFonts w:eastAsia="標楷體"/>
          <w:sz w:val="20"/>
          <w:szCs w:val="20"/>
        </w:rPr>
        <w:t>萬立方公尺</w:t>
      </w:r>
      <w:r w:rsidRPr="007B6667">
        <w:rPr>
          <w:rFonts w:eastAsia="標楷體"/>
          <w:sz w:val="20"/>
          <w:szCs w:val="20"/>
        </w:rPr>
        <w:t>(</w:t>
      </w:r>
      <w:r w:rsidRPr="007B6667">
        <w:rPr>
          <w:rFonts w:eastAsia="標楷體"/>
          <w:sz w:val="20"/>
          <w:szCs w:val="20"/>
        </w:rPr>
        <w:t>低流量</w:t>
      </w:r>
      <w:r w:rsidRPr="007B6667">
        <w:rPr>
          <w:rFonts w:eastAsia="標楷體"/>
          <w:sz w:val="20"/>
          <w:szCs w:val="20"/>
        </w:rPr>
        <w:t>)</w:t>
      </w:r>
      <w:r w:rsidRPr="007B6667">
        <w:rPr>
          <w:rFonts w:eastAsia="標楷體"/>
          <w:sz w:val="20"/>
          <w:szCs w:val="20"/>
        </w:rPr>
        <w:t>時為河川流量的</w:t>
      </w:r>
      <w:r w:rsidRPr="007B6667">
        <w:rPr>
          <w:rFonts w:eastAsia="標楷體"/>
          <w:sz w:val="20"/>
          <w:szCs w:val="20"/>
        </w:rPr>
        <w:t>5%</w:t>
      </w:r>
      <w:r w:rsidRPr="007B6667">
        <w:rPr>
          <w:rFonts w:eastAsia="標楷體"/>
          <w:sz w:val="20"/>
          <w:szCs w:val="20"/>
        </w:rPr>
        <w:t>，</w:t>
      </w:r>
      <w:r w:rsidRPr="007B6667">
        <w:rPr>
          <w:rFonts w:eastAsia="標楷體"/>
          <w:sz w:val="20"/>
          <w:szCs w:val="20"/>
        </w:rPr>
        <w:t>2</w:t>
      </w:r>
      <w:r w:rsidR="00C34684" w:rsidRPr="007B6667">
        <w:rPr>
          <w:rFonts w:eastAsia="標楷體"/>
          <w:sz w:val="20"/>
          <w:szCs w:val="20"/>
        </w:rPr>
        <w:t>,</w:t>
      </w:r>
      <w:r w:rsidRPr="007B6667">
        <w:rPr>
          <w:rFonts w:eastAsia="標楷體"/>
          <w:sz w:val="20"/>
          <w:szCs w:val="20"/>
        </w:rPr>
        <w:t>000~10</w:t>
      </w:r>
      <w:r w:rsidR="00C34684" w:rsidRPr="007B6667">
        <w:rPr>
          <w:rFonts w:eastAsia="標楷體"/>
          <w:sz w:val="20"/>
          <w:szCs w:val="20"/>
        </w:rPr>
        <w:t>,</w:t>
      </w:r>
      <w:r w:rsidRPr="007B6667">
        <w:rPr>
          <w:rFonts w:eastAsia="標楷體"/>
          <w:sz w:val="20"/>
          <w:szCs w:val="20"/>
        </w:rPr>
        <w:t>000</w:t>
      </w:r>
      <w:r w:rsidRPr="007B6667">
        <w:rPr>
          <w:rFonts w:eastAsia="標楷體"/>
          <w:sz w:val="20"/>
          <w:szCs w:val="20"/>
        </w:rPr>
        <w:t>萬立方公尺</w:t>
      </w:r>
      <w:r w:rsidRPr="007B6667">
        <w:rPr>
          <w:rFonts w:eastAsia="標楷體"/>
          <w:sz w:val="20"/>
          <w:szCs w:val="20"/>
        </w:rPr>
        <w:t>(</w:t>
      </w:r>
      <w:r w:rsidRPr="007B6667">
        <w:rPr>
          <w:rFonts w:eastAsia="標楷體"/>
          <w:sz w:val="20"/>
          <w:szCs w:val="20"/>
        </w:rPr>
        <w:t>中流量</w:t>
      </w:r>
      <w:r w:rsidRPr="007B6667">
        <w:rPr>
          <w:rFonts w:eastAsia="標楷體"/>
          <w:sz w:val="20"/>
          <w:szCs w:val="20"/>
        </w:rPr>
        <w:t>)</w:t>
      </w:r>
      <w:r w:rsidRPr="007B6667">
        <w:rPr>
          <w:rFonts w:eastAsia="標楷體"/>
          <w:sz w:val="20"/>
          <w:szCs w:val="20"/>
        </w:rPr>
        <w:t>時為</w:t>
      </w:r>
      <w:r w:rsidRPr="007B6667">
        <w:rPr>
          <w:rFonts w:eastAsia="標楷體"/>
          <w:sz w:val="20"/>
          <w:szCs w:val="20"/>
        </w:rPr>
        <w:t>39%</w:t>
      </w:r>
      <w:r w:rsidRPr="007B6667">
        <w:rPr>
          <w:rFonts w:eastAsia="標楷體"/>
          <w:sz w:val="20"/>
          <w:szCs w:val="20"/>
        </w:rPr>
        <w:t>，</w:t>
      </w:r>
      <w:r w:rsidRPr="007B6667">
        <w:rPr>
          <w:rFonts w:eastAsia="標楷體"/>
          <w:sz w:val="20"/>
          <w:szCs w:val="20"/>
        </w:rPr>
        <w:t>10</w:t>
      </w:r>
      <w:r w:rsidR="00C34684" w:rsidRPr="007B6667">
        <w:rPr>
          <w:rFonts w:eastAsia="標楷體"/>
          <w:sz w:val="20"/>
          <w:szCs w:val="20"/>
        </w:rPr>
        <w:t>,</w:t>
      </w:r>
      <w:r w:rsidRPr="007B6667">
        <w:rPr>
          <w:rFonts w:eastAsia="標楷體"/>
          <w:sz w:val="20"/>
          <w:szCs w:val="20"/>
        </w:rPr>
        <w:t>000~20</w:t>
      </w:r>
      <w:r w:rsidR="00C34684" w:rsidRPr="007B6667">
        <w:rPr>
          <w:rFonts w:eastAsia="標楷體"/>
          <w:sz w:val="20"/>
          <w:szCs w:val="20"/>
        </w:rPr>
        <w:t>,</w:t>
      </w:r>
      <w:r w:rsidRPr="007B6667">
        <w:rPr>
          <w:rFonts w:eastAsia="標楷體"/>
          <w:sz w:val="20"/>
          <w:szCs w:val="20"/>
        </w:rPr>
        <w:t>000</w:t>
      </w:r>
      <w:r w:rsidRPr="007B6667">
        <w:rPr>
          <w:rFonts w:eastAsia="標楷體"/>
          <w:sz w:val="20"/>
          <w:szCs w:val="20"/>
        </w:rPr>
        <w:t>萬立方公尺</w:t>
      </w:r>
      <w:r w:rsidRPr="007B6667">
        <w:rPr>
          <w:rFonts w:eastAsia="標楷體"/>
          <w:sz w:val="20"/>
          <w:szCs w:val="20"/>
        </w:rPr>
        <w:t>(</w:t>
      </w:r>
      <w:r w:rsidRPr="007B6667">
        <w:rPr>
          <w:rFonts w:eastAsia="標楷體"/>
          <w:sz w:val="20"/>
          <w:szCs w:val="20"/>
        </w:rPr>
        <w:t>高流量</w:t>
      </w:r>
      <w:r w:rsidRPr="007B6667">
        <w:rPr>
          <w:rFonts w:eastAsia="標楷體"/>
          <w:sz w:val="20"/>
          <w:szCs w:val="20"/>
        </w:rPr>
        <w:t>)</w:t>
      </w:r>
      <w:r w:rsidRPr="007B6667">
        <w:rPr>
          <w:rFonts w:eastAsia="標楷體"/>
          <w:sz w:val="20"/>
          <w:szCs w:val="20"/>
        </w:rPr>
        <w:t>時為</w:t>
      </w:r>
      <w:r w:rsidRPr="007B6667">
        <w:rPr>
          <w:rFonts w:eastAsia="標楷體"/>
          <w:sz w:val="20"/>
          <w:szCs w:val="20"/>
        </w:rPr>
        <w:t>37%</w:t>
      </w:r>
      <w:r w:rsidRPr="007B6667">
        <w:rPr>
          <w:rFonts w:eastAsia="標楷體"/>
          <w:sz w:val="20"/>
          <w:szCs w:val="20"/>
        </w:rPr>
        <w:t>，操作期間</w:t>
      </w:r>
      <w:r w:rsidRPr="007B6667">
        <w:rPr>
          <w:rFonts w:eastAsia="標楷體"/>
          <w:sz w:val="20"/>
          <w:szCs w:val="20"/>
        </w:rPr>
        <w:t>24</w:t>
      </w:r>
      <w:r w:rsidRPr="007B6667">
        <w:rPr>
          <w:rFonts w:eastAsia="標楷體"/>
          <w:sz w:val="20"/>
          <w:szCs w:val="20"/>
        </w:rPr>
        <w:t>年的平均年引水量為</w:t>
      </w:r>
      <w:r w:rsidRPr="007B6667">
        <w:rPr>
          <w:rFonts w:eastAsia="標楷體"/>
          <w:sz w:val="20"/>
          <w:szCs w:val="20"/>
        </w:rPr>
        <w:t>21</w:t>
      </w:r>
      <w:r w:rsidR="00CD2CE0" w:rsidRPr="007B6667">
        <w:rPr>
          <w:rFonts w:eastAsia="標楷體"/>
          <w:sz w:val="20"/>
          <w:szCs w:val="20"/>
        </w:rPr>
        <w:t>,</w:t>
      </w:r>
      <w:r w:rsidRPr="007B6667">
        <w:rPr>
          <w:rFonts w:eastAsia="標楷體"/>
          <w:sz w:val="20"/>
          <w:szCs w:val="20"/>
        </w:rPr>
        <w:t>434</w:t>
      </w:r>
      <w:r w:rsidRPr="007B6667">
        <w:rPr>
          <w:rFonts w:eastAsia="標楷體"/>
          <w:sz w:val="20"/>
          <w:szCs w:val="20"/>
        </w:rPr>
        <w:t>萬立方公尺，較原計畫量少</w:t>
      </w:r>
      <w:r w:rsidRPr="007B6667">
        <w:rPr>
          <w:rFonts w:eastAsia="標楷體"/>
          <w:sz w:val="20"/>
          <w:szCs w:val="20"/>
        </w:rPr>
        <w:t>623</w:t>
      </w:r>
      <w:r w:rsidRPr="007B6667">
        <w:rPr>
          <w:rFonts w:eastAsia="標楷體"/>
          <w:sz w:val="20"/>
          <w:szCs w:val="20"/>
        </w:rPr>
        <w:t>萬立方公尺。</w:t>
      </w:r>
    </w:p>
    <w:p w:rsidR="00DF2809" w:rsidRPr="007B6667" w:rsidRDefault="00775289" w:rsidP="007B6667">
      <w:pPr>
        <w:spacing w:beforeLines="50" w:before="120"/>
        <w:ind w:firstLineChars="200" w:firstLine="400"/>
        <w:jc w:val="both"/>
        <w:rPr>
          <w:rFonts w:eastAsia="標楷體"/>
          <w:sz w:val="20"/>
          <w:szCs w:val="20"/>
        </w:rPr>
      </w:pPr>
      <w:r w:rsidRPr="007B6667">
        <w:rPr>
          <w:rFonts w:eastAsia="標楷體"/>
          <w:sz w:val="20"/>
          <w:szCs w:val="20"/>
        </w:rPr>
        <w:t>本研究中水庫操作之</w:t>
      </w:r>
      <w:r w:rsidRPr="007B6667">
        <w:rPr>
          <w:rFonts w:eastAsia="標楷體"/>
          <w:sz w:val="20"/>
          <w:szCs w:val="20"/>
        </w:rPr>
        <w:t>36</w:t>
      </w:r>
      <w:r w:rsidRPr="007B6667">
        <w:rPr>
          <w:rFonts w:eastAsia="標楷體"/>
          <w:sz w:val="20"/>
          <w:szCs w:val="20"/>
        </w:rPr>
        <w:t>個旬蓄水量構成一蓄水規線，當水庫之蓄水量大於此蓄水規線時需放水至規線位置，小於此蓄水規線時則依照</w:t>
      </w:r>
      <w:r w:rsidRPr="007B6667">
        <w:rPr>
          <w:rFonts w:eastAsia="標楷體"/>
          <w:sz w:val="20"/>
          <w:szCs w:val="20"/>
        </w:rPr>
        <w:t>MT10</w:t>
      </w:r>
      <w:r w:rsidRPr="007B6667">
        <w:rPr>
          <w:rFonts w:eastAsia="標楷體"/>
          <w:sz w:val="20"/>
          <w:szCs w:val="20"/>
        </w:rPr>
        <w:t>規線操作，依此規則操作所得為</w:t>
      </w:r>
      <w:r w:rsidR="00CD2CE0" w:rsidRPr="007B6667">
        <w:rPr>
          <w:rFonts w:eastAsia="標楷體"/>
          <w:sz w:val="20"/>
          <w:szCs w:val="20"/>
        </w:rPr>
        <w:t>1975</w:t>
      </w:r>
      <w:r w:rsidR="00CD2CE0" w:rsidRPr="007B6667">
        <w:rPr>
          <w:rFonts w:eastAsia="標楷體"/>
          <w:sz w:val="20"/>
          <w:szCs w:val="20"/>
        </w:rPr>
        <w:t>年到</w:t>
      </w:r>
      <w:r w:rsidR="00CD2CE0" w:rsidRPr="007B6667">
        <w:rPr>
          <w:rFonts w:eastAsia="標楷體"/>
          <w:sz w:val="20"/>
          <w:szCs w:val="20"/>
        </w:rPr>
        <w:t>1998</w:t>
      </w:r>
      <w:r w:rsidR="00CD2CE0" w:rsidRPr="007B6667">
        <w:rPr>
          <w:rFonts w:eastAsia="標楷體"/>
          <w:sz w:val="20"/>
          <w:szCs w:val="20"/>
        </w:rPr>
        <w:t>年</w:t>
      </w:r>
      <w:r w:rsidRPr="007B6667">
        <w:rPr>
          <w:rFonts w:eastAsia="標楷體"/>
          <w:sz w:val="20"/>
          <w:szCs w:val="20"/>
        </w:rPr>
        <w:t>間，最大滿足生態環境與人類需求目標之蓄水規線，以求此規線於未來未知之水文條件下，亦能應用於本水庫操作。最佳化結果之蓄水規線如圖</w:t>
      </w:r>
      <w:r w:rsidRPr="007B6667">
        <w:rPr>
          <w:rFonts w:eastAsia="標楷體"/>
          <w:sz w:val="20"/>
          <w:szCs w:val="20"/>
        </w:rPr>
        <w:t>6</w:t>
      </w:r>
      <w:r w:rsidRPr="007B6667">
        <w:rPr>
          <w:rFonts w:eastAsia="標楷體"/>
          <w:sz w:val="20"/>
          <w:szCs w:val="20"/>
        </w:rPr>
        <w:t>所示，圖中顯示年初與年末有幾旬蓄水量低於</w:t>
      </w:r>
      <w:r w:rsidRPr="007B6667">
        <w:rPr>
          <w:rFonts w:eastAsia="標楷體"/>
          <w:sz w:val="20"/>
          <w:szCs w:val="20"/>
        </w:rPr>
        <w:t>MT10</w:t>
      </w:r>
      <w:r w:rsidRPr="007B6667">
        <w:rPr>
          <w:rFonts w:eastAsia="標楷體"/>
          <w:sz w:val="20"/>
          <w:szCs w:val="20"/>
        </w:rPr>
        <w:t>規線下限，這是因為模式中年初蓄水量的設定低於下限的結果，年中大部份的蓄</w:t>
      </w:r>
      <w:r w:rsidR="009B7F26" w:rsidRPr="007B6667">
        <w:rPr>
          <w:rFonts w:eastAsia="標楷體"/>
          <w:sz w:val="20"/>
          <w:szCs w:val="20"/>
        </w:rPr>
        <w:t>水量均介於</w:t>
      </w:r>
      <w:r w:rsidR="009B7F26" w:rsidRPr="007B6667">
        <w:rPr>
          <w:rFonts w:eastAsia="標楷體"/>
          <w:sz w:val="20"/>
          <w:szCs w:val="20"/>
        </w:rPr>
        <w:t>MT10</w:t>
      </w:r>
      <w:r w:rsidR="009B7F26" w:rsidRPr="007B6667">
        <w:rPr>
          <w:rFonts w:eastAsia="標楷體"/>
          <w:sz w:val="20"/>
          <w:szCs w:val="20"/>
        </w:rPr>
        <w:t>規線上限與下限之間。</w:t>
      </w:r>
    </w:p>
    <w:p w:rsidR="00322A1F" w:rsidRPr="007B6667" w:rsidRDefault="00F92642" w:rsidP="007B6667">
      <w:pPr>
        <w:spacing w:beforeLines="50" w:before="120"/>
        <w:jc w:val="center"/>
        <w:rPr>
          <w:rFonts w:eastAsia="標楷體"/>
          <w:sz w:val="20"/>
          <w:szCs w:val="20"/>
        </w:rPr>
      </w:pPr>
      <w:r w:rsidRPr="007B6667">
        <w:rPr>
          <w:rFonts w:eastAsia="標楷體"/>
          <w:noProof/>
          <w:sz w:val="20"/>
          <w:szCs w:val="20"/>
        </w:rPr>
        <w:drawing>
          <wp:inline distT="0" distB="0" distL="0" distR="0" wp14:anchorId="6A698A38" wp14:editId="6DE8875E">
            <wp:extent cx="2443480" cy="2019300"/>
            <wp:effectExtent l="0" t="0" r="0" b="0"/>
            <wp:docPr id="9"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480" cy="2019300"/>
                    </a:xfrm>
                    <a:prstGeom prst="rect">
                      <a:avLst/>
                    </a:prstGeom>
                    <a:noFill/>
                    <a:ln>
                      <a:noFill/>
                    </a:ln>
                  </pic:spPr>
                </pic:pic>
              </a:graphicData>
            </a:graphic>
          </wp:inline>
        </w:drawing>
      </w:r>
    </w:p>
    <w:p w:rsidR="00775289" w:rsidRPr="007B6667" w:rsidRDefault="00775289" w:rsidP="007B6667">
      <w:pPr>
        <w:spacing w:beforeLines="50" w:before="120"/>
        <w:jc w:val="center"/>
        <w:rPr>
          <w:rFonts w:eastAsia="標楷體"/>
          <w:b/>
          <w:sz w:val="20"/>
          <w:szCs w:val="20"/>
        </w:rPr>
      </w:pPr>
      <w:r w:rsidRPr="007B6667">
        <w:rPr>
          <w:rFonts w:eastAsia="標楷體"/>
          <w:b/>
          <w:sz w:val="20"/>
          <w:szCs w:val="20"/>
        </w:rPr>
        <w:t>圖</w:t>
      </w:r>
      <w:r w:rsidRPr="007B6667">
        <w:rPr>
          <w:rFonts w:eastAsia="標楷體"/>
          <w:b/>
          <w:sz w:val="20"/>
          <w:szCs w:val="20"/>
        </w:rPr>
        <w:t xml:space="preserve">6 </w:t>
      </w:r>
      <w:r w:rsidRPr="007B6667">
        <w:rPr>
          <w:rFonts w:eastAsia="標楷體"/>
          <w:b/>
          <w:sz w:val="20"/>
          <w:szCs w:val="20"/>
        </w:rPr>
        <w:t>最佳化模式結果之曾文水庫蓄水規線</w:t>
      </w:r>
    </w:p>
    <w:p w:rsidR="00775289" w:rsidRPr="007B6667" w:rsidRDefault="00DF2809" w:rsidP="007B6667">
      <w:pPr>
        <w:spacing w:beforeLines="50" w:before="120"/>
        <w:ind w:firstLineChars="200" w:firstLine="400"/>
        <w:jc w:val="both"/>
        <w:rPr>
          <w:rFonts w:eastAsia="標楷體"/>
          <w:sz w:val="20"/>
          <w:szCs w:val="20"/>
        </w:rPr>
      </w:pPr>
      <w:r w:rsidRPr="007B6667">
        <w:rPr>
          <w:rFonts w:eastAsia="標楷體"/>
          <w:sz w:val="20"/>
          <w:szCs w:val="20"/>
        </w:rPr>
        <w:t>在荖濃溪人類需水目標的部分，將本研究之最佳化模式取水結果與不取水、原計畫取水兩種情況進行比較，圖</w:t>
      </w:r>
      <w:r w:rsidRPr="007B6667">
        <w:rPr>
          <w:rFonts w:eastAsia="標楷體"/>
          <w:sz w:val="20"/>
          <w:szCs w:val="20"/>
        </w:rPr>
        <w:t>7</w:t>
      </w:r>
      <w:r w:rsidRPr="007B6667">
        <w:rPr>
          <w:rFonts w:eastAsia="標楷體"/>
          <w:sz w:val="20"/>
          <w:szCs w:val="20"/>
        </w:rPr>
        <w:t>為</w:t>
      </w:r>
      <w:r w:rsidR="003D1B8D" w:rsidRPr="007B6667">
        <w:rPr>
          <w:rFonts w:eastAsia="標楷體"/>
          <w:sz w:val="20"/>
          <w:szCs w:val="20"/>
        </w:rPr>
        <w:t>缺水量比較，結果</w:t>
      </w:r>
      <w:r w:rsidRPr="007B6667">
        <w:rPr>
          <w:rFonts w:eastAsia="標楷體"/>
          <w:sz w:val="20"/>
          <w:szCs w:val="20"/>
        </w:rPr>
        <w:t>不取水表現最好，其次是最佳化模式，原計畫量表現最差且與前兩者有顯</w:t>
      </w:r>
      <w:r w:rsidRPr="007B6667">
        <w:rPr>
          <w:rFonts w:eastAsia="標楷體"/>
          <w:sz w:val="20"/>
          <w:szCs w:val="20"/>
        </w:rPr>
        <w:lastRenderedPageBreak/>
        <w:t>著差距，其中原計畫量之平均缺水量為</w:t>
      </w:r>
      <w:r w:rsidRPr="007B6667">
        <w:rPr>
          <w:rFonts w:eastAsia="標楷體"/>
          <w:sz w:val="20"/>
          <w:szCs w:val="20"/>
        </w:rPr>
        <w:t>11</w:t>
      </w:r>
      <w:r w:rsidR="00CD2CE0" w:rsidRPr="007B6667">
        <w:rPr>
          <w:rFonts w:eastAsia="標楷體"/>
          <w:sz w:val="20"/>
          <w:szCs w:val="20"/>
        </w:rPr>
        <w:t>,</w:t>
      </w:r>
      <w:r w:rsidRPr="007B6667">
        <w:rPr>
          <w:rFonts w:eastAsia="標楷體"/>
          <w:sz w:val="20"/>
          <w:szCs w:val="20"/>
        </w:rPr>
        <w:t>938</w:t>
      </w:r>
      <w:r w:rsidRPr="007B6667">
        <w:rPr>
          <w:rFonts w:eastAsia="標楷體"/>
          <w:sz w:val="20"/>
          <w:szCs w:val="20"/>
        </w:rPr>
        <w:t>萬立方公尺，最佳化模式之缺水量為</w:t>
      </w:r>
      <w:r w:rsidRPr="007B6667">
        <w:rPr>
          <w:rFonts w:eastAsia="標楷體"/>
          <w:sz w:val="20"/>
          <w:szCs w:val="20"/>
        </w:rPr>
        <w:t>6</w:t>
      </w:r>
      <w:r w:rsidR="00CD2CE0" w:rsidRPr="007B6667">
        <w:rPr>
          <w:rFonts w:eastAsia="標楷體"/>
          <w:sz w:val="20"/>
          <w:szCs w:val="20"/>
        </w:rPr>
        <w:t>,</w:t>
      </w:r>
      <w:r w:rsidRPr="007B6667">
        <w:rPr>
          <w:rFonts w:eastAsia="標楷體"/>
          <w:sz w:val="20"/>
          <w:szCs w:val="20"/>
        </w:rPr>
        <w:t>989</w:t>
      </w:r>
      <w:r w:rsidRPr="007B6667">
        <w:rPr>
          <w:rFonts w:eastAsia="標楷體"/>
          <w:sz w:val="20"/>
          <w:szCs w:val="20"/>
        </w:rPr>
        <w:t>萬立方公尺，相差約</w:t>
      </w:r>
      <w:r w:rsidRPr="007B6667">
        <w:rPr>
          <w:rFonts w:eastAsia="標楷體"/>
          <w:sz w:val="20"/>
          <w:szCs w:val="20"/>
        </w:rPr>
        <w:t>4</w:t>
      </w:r>
      <w:r w:rsidR="00CD2CE0" w:rsidRPr="007B6667">
        <w:rPr>
          <w:rFonts w:eastAsia="標楷體"/>
          <w:sz w:val="20"/>
          <w:szCs w:val="20"/>
        </w:rPr>
        <w:t>,</w:t>
      </w:r>
      <w:r w:rsidRPr="007B6667">
        <w:rPr>
          <w:rFonts w:eastAsia="標楷體"/>
          <w:sz w:val="20"/>
          <w:szCs w:val="20"/>
        </w:rPr>
        <w:t>949</w:t>
      </w:r>
      <w:r w:rsidRPr="007B6667">
        <w:rPr>
          <w:rFonts w:eastAsia="標楷體"/>
          <w:sz w:val="20"/>
          <w:szCs w:val="20"/>
        </w:rPr>
        <w:t>萬立方公尺；圖</w:t>
      </w:r>
      <w:r w:rsidRPr="007B6667">
        <w:rPr>
          <w:rFonts w:eastAsia="標楷體"/>
          <w:sz w:val="20"/>
          <w:szCs w:val="20"/>
        </w:rPr>
        <w:t>8</w:t>
      </w:r>
      <w:r w:rsidRPr="007B6667">
        <w:rPr>
          <w:rFonts w:eastAsia="標楷體"/>
          <w:sz w:val="20"/>
          <w:szCs w:val="20"/>
        </w:rPr>
        <w:t>為最大連續缺水旬數比較，原計畫量相較於其它兩者的最大連續缺水旬數，有八個年度表現較差，一個年度表現較好，整體而言仍是不取水表現最好，最佳化模式次之，原計畫量最差。由此比較結合前述年平均引水量檢討得知，最佳化模式的取水結果可使荖濃溪的人類用水較不容易發生缺水，其年總引水量僅比原計畫取水情況多保留了</w:t>
      </w:r>
      <w:r w:rsidRPr="007B6667">
        <w:rPr>
          <w:rFonts w:eastAsia="標楷體"/>
          <w:sz w:val="20"/>
          <w:szCs w:val="20"/>
        </w:rPr>
        <w:t>623</w:t>
      </w:r>
      <w:r w:rsidRPr="007B6667">
        <w:rPr>
          <w:rFonts w:eastAsia="標楷體"/>
          <w:sz w:val="20"/>
          <w:szCs w:val="20"/>
        </w:rPr>
        <w:t>萬立方公尺的水於荖濃溪，但卻減少了</w:t>
      </w:r>
      <w:r w:rsidRPr="007B6667">
        <w:rPr>
          <w:rFonts w:eastAsia="標楷體"/>
          <w:sz w:val="20"/>
          <w:szCs w:val="20"/>
        </w:rPr>
        <w:t>4</w:t>
      </w:r>
      <w:r w:rsidR="00CD2CE0" w:rsidRPr="007B6667">
        <w:rPr>
          <w:rFonts w:eastAsia="標楷體"/>
          <w:sz w:val="20"/>
          <w:szCs w:val="20"/>
        </w:rPr>
        <w:t>,</w:t>
      </w:r>
      <w:r w:rsidRPr="007B6667">
        <w:rPr>
          <w:rFonts w:eastAsia="標楷體"/>
          <w:sz w:val="20"/>
          <w:szCs w:val="20"/>
        </w:rPr>
        <w:t>949</w:t>
      </w:r>
      <w:r w:rsidRPr="007B6667">
        <w:rPr>
          <w:rFonts w:eastAsia="標楷體"/>
          <w:sz w:val="20"/>
          <w:szCs w:val="20"/>
        </w:rPr>
        <w:t>萬立方公尺的缺水量。</w:t>
      </w:r>
    </w:p>
    <w:p w:rsidR="003D1B8D" w:rsidRPr="007B6667" w:rsidRDefault="003D1B8D" w:rsidP="007B6667">
      <w:pPr>
        <w:spacing w:beforeLines="50" w:before="120"/>
        <w:ind w:firstLineChars="200" w:firstLine="400"/>
        <w:jc w:val="both"/>
        <w:rPr>
          <w:rFonts w:eastAsia="標楷體"/>
          <w:sz w:val="20"/>
          <w:szCs w:val="20"/>
        </w:rPr>
      </w:pPr>
      <w:r w:rsidRPr="007B6667">
        <w:rPr>
          <w:rFonts w:eastAsia="標楷體"/>
          <w:sz w:val="20"/>
          <w:szCs w:val="20"/>
        </w:rPr>
        <w:t>在曾文水庫人類需水目標的部分，將本研究之最佳化模式結果與</w:t>
      </w:r>
      <w:r w:rsidRPr="007B6667">
        <w:rPr>
          <w:rFonts w:eastAsia="標楷體"/>
          <w:sz w:val="20"/>
          <w:szCs w:val="20"/>
        </w:rPr>
        <w:t>(1)MT10</w:t>
      </w:r>
      <w:r w:rsidRPr="007B6667">
        <w:rPr>
          <w:rFonts w:eastAsia="標楷體"/>
          <w:sz w:val="20"/>
          <w:szCs w:val="20"/>
        </w:rPr>
        <w:t>規線：最佳化模式之取水方式依照</w:t>
      </w:r>
      <w:r w:rsidRPr="007B6667">
        <w:rPr>
          <w:rFonts w:eastAsia="標楷體"/>
          <w:sz w:val="20"/>
          <w:szCs w:val="20"/>
        </w:rPr>
        <w:t>MT10</w:t>
      </w:r>
      <w:r w:rsidRPr="007B6667">
        <w:rPr>
          <w:rFonts w:eastAsia="標楷體"/>
          <w:sz w:val="20"/>
          <w:szCs w:val="20"/>
        </w:rPr>
        <w:t>規線操作；</w:t>
      </w:r>
      <w:r w:rsidRPr="007B6667">
        <w:rPr>
          <w:rFonts w:eastAsia="標楷體"/>
          <w:sz w:val="20"/>
          <w:szCs w:val="20"/>
        </w:rPr>
        <w:t>(2)</w:t>
      </w:r>
      <w:r w:rsidRPr="007B6667">
        <w:rPr>
          <w:rFonts w:eastAsia="標楷體"/>
          <w:sz w:val="20"/>
          <w:szCs w:val="20"/>
        </w:rPr>
        <w:t>原計畫量：原計畫取水方式依照最佳化模式之蓄水規線操作兩種情況進行比較。圖</w:t>
      </w:r>
      <w:r w:rsidRPr="007B6667">
        <w:rPr>
          <w:rFonts w:eastAsia="標楷體"/>
          <w:sz w:val="20"/>
          <w:szCs w:val="20"/>
        </w:rPr>
        <w:t>9</w:t>
      </w:r>
      <w:r w:rsidRPr="007B6667">
        <w:rPr>
          <w:rFonts w:eastAsia="標楷體"/>
          <w:sz w:val="20"/>
          <w:szCs w:val="20"/>
        </w:rPr>
        <w:t>為缺水量之比較，</w:t>
      </w:r>
      <w:r w:rsidRPr="007B6667">
        <w:rPr>
          <w:rFonts w:eastAsia="標楷體"/>
          <w:sz w:val="20"/>
          <w:szCs w:val="20"/>
        </w:rPr>
        <w:t>MT10</w:t>
      </w:r>
      <w:r w:rsidRPr="007B6667">
        <w:rPr>
          <w:rFonts w:eastAsia="標楷體"/>
          <w:sz w:val="20"/>
          <w:szCs w:val="20"/>
        </w:rPr>
        <w:t>規線表現</w:t>
      </w:r>
      <w:r w:rsidR="009B7F26" w:rsidRPr="007B6667">
        <w:rPr>
          <w:rFonts w:eastAsia="標楷體"/>
          <w:sz w:val="20"/>
          <w:szCs w:val="20"/>
        </w:rPr>
        <w:t>顯著優於其它兩者，而原計畫量之平均缺水量為</w:t>
      </w:r>
      <w:r w:rsidR="009B7F26" w:rsidRPr="007B6667">
        <w:rPr>
          <w:rFonts w:eastAsia="標楷體"/>
          <w:sz w:val="20"/>
          <w:szCs w:val="20"/>
        </w:rPr>
        <w:t>61,661</w:t>
      </w:r>
      <w:r w:rsidR="009B7F26" w:rsidRPr="007B6667">
        <w:rPr>
          <w:rFonts w:eastAsia="標楷體"/>
          <w:sz w:val="20"/>
          <w:szCs w:val="20"/>
        </w:rPr>
        <w:t>萬立方公尺，表現較最佳化模式的</w:t>
      </w:r>
      <w:r w:rsidR="009B7F26" w:rsidRPr="007B6667">
        <w:rPr>
          <w:rFonts w:eastAsia="標楷體"/>
          <w:sz w:val="20"/>
          <w:szCs w:val="20"/>
        </w:rPr>
        <w:t>63,629</w:t>
      </w:r>
      <w:r w:rsidR="009B7F26" w:rsidRPr="007B6667">
        <w:rPr>
          <w:rFonts w:eastAsia="標楷體"/>
          <w:sz w:val="20"/>
          <w:szCs w:val="20"/>
        </w:rPr>
        <w:t>萬立方公尺好，約少了</w:t>
      </w:r>
      <w:r w:rsidR="009B7F26" w:rsidRPr="007B6667">
        <w:rPr>
          <w:rFonts w:eastAsia="標楷體"/>
          <w:sz w:val="20"/>
          <w:szCs w:val="20"/>
        </w:rPr>
        <w:t>1,968</w:t>
      </w:r>
      <w:r w:rsidR="009B7F26" w:rsidRPr="007B6667">
        <w:rPr>
          <w:rFonts w:eastAsia="標楷體"/>
          <w:sz w:val="20"/>
          <w:szCs w:val="20"/>
        </w:rPr>
        <w:t>萬立方公尺的缺水量，若扣除最佳化模式的平均引水量較原計畫量少</w:t>
      </w:r>
      <w:r w:rsidR="009B7F26" w:rsidRPr="007B6667">
        <w:rPr>
          <w:rFonts w:eastAsia="標楷體"/>
          <w:sz w:val="20"/>
          <w:szCs w:val="20"/>
        </w:rPr>
        <w:t>623</w:t>
      </w:r>
      <w:r w:rsidR="009B7F26" w:rsidRPr="007B6667">
        <w:rPr>
          <w:rFonts w:eastAsia="標楷體"/>
          <w:sz w:val="20"/>
          <w:szCs w:val="20"/>
        </w:rPr>
        <w:t>萬立方公尺的因素後，仍有</w:t>
      </w:r>
      <w:r w:rsidR="009B7F26" w:rsidRPr="007B6667">
        <w:rPr>
          <w:rFonts w:eastAsia="標楷體"/>
          <w:sz w:val="20"/>
          <w:szCs w:val="20"/>
        </w:rPr>
        <w:t>1,346</w:t>
      </w:r>
      <w:r w:rsidR="009B7F26" w:rsidRPr="007B6667">
        <w:rPr>
          <w:rFonts w:eastAsia="標楷體"/>
          <w:sz w:val="20"/>
          <w:szCs w:val="20"/>
        </w:rPr>
        <w:t>萬立方公尺水量的差距，因此在曾文缺水量這項目標，最佳化模式的結果是較差的。原計畫量與最佳化模式兩方案的差異在於取水時間與取水量不同，最佳化模式在枯水期也會取水，減少了曾文水庫枯水期間缺水的情況，因此在最大連續缺水旬數的結果比較好，但也因此造成枯水期間取水後，水庫蓄水量高於最佳化蓄水規線的量較多，結果必須排放這些水量，導致最佳化模式有較多缺水量。</w:t>
      </w:r>
    </w:p>
    <w:p w:rsidR="00DF2809" w:rsidRPr="007B6667" w:rsidRDefault="00F92642" w:rsidP="007B6667">
      <w:pPr>
        <w:spacing w:beforeLines="50" w:before="120"/>
        <w:jc w:val="center"/>
        <w:rPr>
          <w:rFonts w:eastAsia="標楷體"/>
          <w:sz w:val="20"/>
          <w:szCs w:val="20"/>
        </w:rPr>
      </w:pPr>
      <w:r w:rsidRPr="007B6667">
        <w:rPr>
          <w:rFonts w:eastAsia="標楷體"/>
          <w:noProof/>
          <w:sz w:val="20"/>
          <w:szCs w:val="20"/>
        </w:rPr>
        <w:drawing>
          <wp:inline distT="0" distB="0" distL="0" distR="0" wp14:anchorId="0C9E191D" wp14:editId="283619AB">
            <wp:extent cx="2767166" cy="1600200"/>
            <wp:effectExtent l="0" t="0" r="0" b="0"/>
            <wp:docPr id="10" name="圖表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4"/>
                    <pic:cNvPicPr>
                      <a:picLocks noChangeAspect="1" noChangeArrowheads="1"/>
                    </pic:cNvPicPr>
                  </pic:nvPicPr>
                  <pic:blipFill>
                    <a:blip r:embed="rId14" cstate="print">
                      <a:extLst>
                        <a:ext uri="{28A0092B-C50C-407E-A947-70E740481C1C}">
                          <a14:useLocalDpi xmlns:a14="http://schemas.microsoft.com/office/drawing/2010/main" val="0"/>
                        </a:ext>
                      </a:extLst>
                    </a:blip>
                    <a:srcRect b="-116"/>
                    <a:stretch>
                      <a:fillRect/>
                    </a:stretch>
                  </pic:blipFill>
                  <pic:spPr bwMode="auto">
                    <a:xfrm>
                      <a:off x="0" y="0"/>
                      <a:ext cx="2769116" cy="1601328"/>
                    </a:xfrm>
                    <a:prstGeom prst="rect">
                      <a:avLst/>
                    </a:prstGeom>
                    <a:noFill/>
                    <a:ln>
                      <a:noFill/>
                    </a:ln>
                  </pic:spPr>
                </pic:pic>
              </a:graphicData>
            </a:graphic>
          </wp:inline>
        </w:drawing>
      </w:r>
    </w:p>
    <w:p w:rsidR="00775289" w:rsidRPr="007B6667" w:rsidRDefault="00DF2809" w:rsidP="007B6667">
      <w:pPr>
        <w:spacing w:beforeLines="50" w:before="120"/>
        <w:ind w:leftChars="50" w:left="520" w:rightChars="50" w:right="120" w:hangingChars="200" w:hanging="400"/>
        <w:rPr>
          <w:rFonts w:eastAsia="標楷體"/>
          <w:b/>
          <w:sz w:val="20"/>
          <w:szCs w:val="20"/>
        </w:rPr>
      </w:pPr>
      <w:r w:rsidRPr="007B6667">
        <w:rPr>
          <w:rFonts w:eastAsia="標楷體"/>
          <w:b/>
          <w:sz w:val="20"/>
          <w:szCs w:val="20"/>
        </w:rPr>
        <w:t>圖</w:t>
      </w:r>
      <w:r w:rsidRPr="007B6667">
        <w:rPr>
          <w:rFonts w:eastAsia="標楷體"/>
          <w:b/>
          <w:sz w:val="20"/>
          <w:szCs w:val="20"/>
        </w:rPr>
        <w:t xml:space="preserve">7 </w:t>
      </w:r>
      <w:r w:rsidRPr="007B6667">
        <w:rPr>
          <w:rFonts w:eastAsia="標楷體"/>
          <w:b/>
          <w:sz w:val="20"/>
          <w:szCs w:val="20"/>
        </w:rPr>
        <w:t>荖濃溪不取水、原計畫取水、最佳化模式取水三者之缺水量比較</w:t>
      </w:r>
    </w:p>
    <w:p w:rsidR="00DF2809" w:rsidRPr="007B6667" w:rsidRDefault="00F92642" w:rsidP="007B6667">
      <w:pPr>
        <w:spacing w:beforeLines="50" w:before="120"/>
        <w:jc w:val="center"/>
        <w:rPr>
          <w:rFonts w:eastAsia="標楷體"/>
          <w:sz w:val="20"/>
          <w:szCs w:val="20"/>
        </w:rPr>
      </w:pPr>
      <w:r w:rsidRPr="007B6667">
        <w:rPr>
          <w:rFonts w:eastAsia="標楷體"/>
          <w:noProof/>
          <w:sz w:val="20"/>
          <w:szCs w:val="20"/>
        </w:rPr>
        <w:drawing>
          <wp:inline distT="0" distB="0" distL="0" distR="0" wp14:anchorId="3E838E70" wp14:editId="57FC25F1">
            <wp:extent cx="2740786" cy="1600200"/>
            <wp:effectExtent l="0" t="0" r="2540" b="0"/>
            <wp:docPr id="11" name="圖表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9"/>
                    <pic:cNvPicPr>
                      <a:picLocks noChangeAspect="1" noChangeArrowheads="1"/>
                    </pic:cNvPicPr>
                  </pic:nvPicPr>
                  <pic:blipFill>
                    <a:blip r:embed="rId15" cstate="print">
                      <a:extLst>
                        <a:ext uri="{28A0092B-C50C-407E-A947-70E740481C1C}">
                          <a14:useLocalDpi xmlns:a14="http://schemas.microsoft.com/office/drawing/2010/main" val="0"/>
                        </a:ext>
                      </a:extLst>
                    </a:blip>
                    <a:srcRect b="-114"/>
                    <a:stretch>
                      <a:fillRect/>
                    </a:stretch>
                  </pic:blipFill>
                  <pic:spPr bwMode="auto">
                    <a:xfrm>
                      <a:off x="0" y="0"/>
                      <a:ext cx="2744033" cy="1602096"/>
                    </a:xfrm>
                    <a:prstGeom prst="rect">
                      <a:avLst/>
                    </a:prstGeom>
                    <a:noFill/>
                    <a:ln>
                      <a:noFill/>
                    </a:ln>
                  </pic:spPr>
                </pic:pic>
              </a:graphicData>
            </a:graphic>
          </wp:inline>
        </w:drawing>
      </w:r>
    </w:p>
    <w:p w:rsidR="00DF2809" w:rsidRPr="007B6667" w:rsidRDefault="00DF2809" w:rsidP="007B6667">
      <w:pPr>
        <w:spacing w:beforeLines="50" w:before="120"/>
        <w:ind w:leftChars="50" w:left="520" w:rightChars="50" w:right="120" w:hangingChars="200" w:hanging="400"/>
        <w:rPr>
          <w:rFonts w:eastAsia="標楷體"/>
          <w:b/>
          <w:sz w:val="20"/>
          <w:szCs w:val="20"/>
        </w:rPr>
      </w:pPr>
      <w:r w:rsidRPr="007B6667">
        <w:rPr>
          <w:rFonts w:eastAsia="標楷體"/>
          <w:b/>
          <w:sz w:val="20"/>
          <w:szCs w:val="20"/>
        </w:rPr>
        <w:t>圖</w:t>
      </w:r>
      <w:r w:rsidRPr="007B6667">
        <w:rPr>
          <w:rFonts w:eastAsia="標楷體"/>
          <w:b/>
          <w:sz w:val="20"/>
          <w:szCs w:val="20"/>
        </w:rPr>
        <w:t xml:space="preserve">8 </w:t>
      </w:r>
      <w:r w:rsidRPr="007B6667">
        <w:rPr>
          <w:rFonts w:eastAsia="標楷體"/>
          <w:b/>
          <w:sz w:val="20"/>
          <w:szCs w:val="20"/>
        </w:rPr>
        <w:t>荖濃溪不取水、原計畫取水、最佳化模式取水三者之最大連續缺水旬數比較</w:t>
      </w:r>
    </w:p>
    <w:p w:rsidR="00E87D91" w:rsidRPr="007B6667" w:rsidRDefault="00F92642" w:rsidP="007B6667">
      <w:pPr>
        <w:spacing w:beforeLines="50" w:before="120"/>
        <w:jc w:val="center"/>
        <w:rPr>
          <w:rFonts w:eastAsia="標楷體"/>
          <w:sz w:val="20"/>
          <w:szCs w:val="20"/>
        </w:rPr>
      </w:pPr>
      <w:r w:rsidRPr="007B6667">
        <w:rPr>
          <w:rFonts w:eastAsia="標楷體"/>
          <w:noProof/>
          <w:sz w:val="20"/>
          <w:szCs w:val="20"/>
        </w:rPr>
        <w:lastRenderedPageBreak/>
        <w:drawing>
          <wp:inline distT="0" distB="0" distL="0" distR="0" wp14:anchorId="7F4884C9" wp14:editId="1C1B04FD">
            <wp:extent cx="2853892" cy="1666875"/>
            <wp:effectExtent l="0" t="0" r="3810" b="0"/>
            <wp:docPr id="12" name="圖表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表 7"/>
                    <pic:cNvPicPr>
                      <a:picLocks noChangeAspect="1" noChangeArrowheads="1"/>
                    </pic:cNvPicPr>
                  </pic:nvPicPr>
                  <pic:blipFill>
                    <a:blip r:embed="rId16" cstate="print">
                      <a:extLst>
                        <a:ext uri="{28A0092B-C50C-407E-A947-70E740481C1C}">
                          <a14:useLocalDpi xmlns:a14="http://schemas.microsoft.com/office/drawing/2010/main" val="0"/>
                        </a:ext>
                      </a:extLst>
                    </a:blip>
                    <a:srcRect b="-114"/>
                    <a:stretch>
                      <a:fillRect/>
                    </a:stretch>
                  </pic:blipFill>
                  <pic:spPr bwMode="auto">
                    <a:xfrm>
                      <a:off x="0" y="0"/>
                      <a:ext cx="2853892" cy="1666875"/>
                    </a:xfrm>
                    <a:prstGeom prst="rect">
                      <a:avLst/>
                    </a:prstGeom>
                    <a:noFill/>
                    <a:ln>
                      <a:noFill/>
                    </a:ln>
                  </pic:spPr>
                </pic:pic>
              </a:graphicData>
            </a:graphic>
          </wp:inline>
        </w:drawing>
      </w:r>
    </w:p>
    <w:p w:rsidR="00E87D91" w:rsidRPr="007B6667" w:rsidRDefault="00E87D91" w:rsidP="007B6667">
      <w:pPr>
        <w:spacing w:beforeLines="50" w:before="120"/>
        <w:ind w:leftChars="50" w:left="520" w:rightChars="50" w:right="120" w:hangingChars="200" w:hanging="400"/>
        <w:rPr>
          <w:rFonts w:eastAsia="標楷體"/>
          <w:b/>
          <w:sz w:val="20"/>
          <w:szCs w:val="20"/>
        </w:rPr>
      </w:pPr>
      <w:r w:rsidRPr="007B6667">
        <w:rPr>
          <w:rFonts w:eastAsia="標楷體"/>
          <w:b/>
          <w:sz w:val="20"/>
          <w:szCs w:val="20"/>
        </w:rPr>
        <w:t>圖</w:t>
      </w:r>
      <w:r w:rsidRPr="007B6667">
        <w:rPr>
          <w:rFonts w:eastAsia="標楷體"/>
          <w:b/>
          <w:sz w:val="20"/>
          <w:szCs w:val="20"/>
        </w:rPr>
        <w:t xml:space="preserve">9 </w:t>
      </w:r>
      <w:r w:rsidRPr="007B6667">
        <w:rPr>
          <w:rFonts w:eastAsia="標楷體"/>
          <w:b/>
          <w:sz w:val="20"/>
          <w:szCs w:val="20"/>
        </w:rPr>
        <w:t>曾文水庫</w:t>
      </w:r>
      <w:r w:rsidRPr="007B6667">
        <w:rPr>
          <w:rFonts w:eastAsia="標楷體"/>
          <w:b/>
          <w:sz w:val="20"/>
          <w:szCs w:val="20"/>
        </w:rPr>
        <w:t>MT10</w:t>
      </w:r>
      <w:r w:rsidRPr="007B6667">
        <w:rPr>
          <w:rFonts w:eastAsia="標楷體"/>
          <w:b/>
          <w:sz w:val="20"/>
          <w:szCs w:val="20"/>
        </w:rPr>
        <w:t>規線操作、原計畫取水、最佳化模式取水三者之缺水量比較</w:t>
      </w:r>
    </w:p>
    <w:p w:rsidR="002C65F7" w:rsidRDefault="00BF2327" w:rsidP="007B6667">
      <w:pPr>
        <w:spacing w:beforeLines="50" w:before="120"/>
        <w:ind w:firstLineChars="200" w:firstLine="400"/>
        <w:jc w:val="both"/>
        <w:rPr>
          <w:rFonts w:eastAsia="標楷體"/>
          <w:sz w:val="20"/>
          <w:szCs w:val="20"/>
        </w:rPr>
      </w:pPr>
      <w:r w:rsidRPr="007B6667">
        <w:rPr>
          <w:rFonts w:eastAsia="標楷體"/>
          <w:sz w:val="20"/>
          <w:szCs w:val="20"/>
        </w:rPr>
        <w:t>在環境流態因子目標部分，以</w:t>
      </w:r>
      <w:r w:rsidRPr="007B6667">
        <w:rPr>
          <w:rFonts w:eastAsia="標楷體"/>
          <w:sz w:val="20"/>
          <w:szCs w:val="20"/>
        </w:rPr>
        <w:t>50%</w:t>
      </w:r>
      <w:r w:rsidRPr="007B6667">
        <w:rPr>
          <w:rFonts w:eastAsia="標楷體"/>
          <w:sz w:val="20"/>
          <w:szCs w:val="20"/>
        </w:rPr>
        <w:t>的發生年數落於門檻值內為最佳狀況</w:t>
      </w:r>
      <w:r w:rsidRPr="007B6667">
        <w:rPr>
          <w:rFonts w:eastAsia="標楷體"/>
          <w:sz w:val="20"/>
          <w:szCs w:val="20"/>
        </w:rPr>
        <w:t>(</w:t>
      </w:r>
      <w:r w:rsidRPr="007B6667">
        <w:rPr>
          <w:rFonts w:eastAsia="標楷體"/>
          <w:sz w:val="20"/>
          <w:szCs w:val="20"/>
        </w:rPr>
        <w:t>分數為</w:t>
      </w:r>
      <w:r w:rsidRPr="007B6667">
        <w:rPr>
          <w:rFonts w:eastAsia="標楷體"/>
          <w:sz w:val="20"/>
          <w:szCs w:val="20"/>
        </w:rPr>
        <w:t>1)</w:t>
      </w:r>
      <w:r w:rsidRPr="007B6667">
        <w:rPr>
          <w:rFonts w:eastAsia="標楷體"/>
          <w:sz w:val="20"/>
          <w:szCs w:val="20"/>
        </w:rPr>
        <w:t>，</w:t>
      </w:r>
      <w:r w:rsidR="00246BB3" w:rsidRPr="007B6667">
        <w:rPr>
          <w:rFonts w:eastAsia="標楷體"/>
          <w:sz w:val="20"/>
          <w:szCs w:val="20"/>
        </w:rPr>
        <w:t>表</w:t>
      </w:r>
      <w:r w:rsidR="00246BB3" w:rsidRPr="007B6667">
        <w:rPr>
          <w:rFonts w:eastAsia="標楷體"/>
          <w:sz w:val="20"/>
          <w:szCs w:val="20"/>
        </w:rPr>
        <w:t>3</w:t>
      </w:r>
      <w:r w:rsidR="00246BB3" w:rsidRPr="007B6667">
        <w:rPr>
          <w:rFonts w:eastAsia="標楷體"/>
          <w:sz w:val="20"/>
          <w:szCs w:val="20"/>
        </w:rPr>
        <w:t>中，荖濃溪依照原設計方案引水後的</w:t>
      </w:r>
      <w:r w:rsidR="00246BB3" w:rsidRPr="007B6667">
        <w:rPr>
          <w:rFonts w:eastAsia="標楷體"/>
          <w:sz w:val="20"/>
          <w:szCs w:val="20"/>
        </w:rPr>
        <w:t>EFCs</w:t>
      </w:r>
      <w:r w:rsidR="00246BB3" w:rsidRPr="007B6667">
        <w:rPr>
          <w:rFonts w:eastAsia="標楷體"/>
          <w:sz w:val="20"/>
          <w:szCs w:val="20"/>
        </w:rPr>
        <w:t>為</w:t>
      </w:r>
      <w:r w:rsidR="00246BB3" w:rsidRPr="007B6667">
        <w:rPr>
          <w:rFonts w:eastAsia="標楷體"/>
          <w:sz w:val="20"/>
          <w:szCs w:val="20"/>
        </w:rPr>
        <w:t>0.68</w:t>
      </w:r>
      <w:r w:rsidR="00246BB3" w:rsidRPr="007B6667">
        <w:rPr>
          <w:rFonts w:eastAsia="標楷體"/>
          <w:sz w:val="20"/>
          <w:szCs w:val="20"/>
        </w:rPr>
        <w:t>，改以最佳化模式方案引水後的</w:t>
      </w:r>
      <w:r w:rsidR="00246BB3" w:rsidRPr="007B6667">
        <w:rPr>
          <w:rFonts w:eastAsia="標楷體"/>
          <w:sz w:val="20"/>
          <w:szCs w:val="20"/>
        </w:rPr>
        <w:t>EFCs</w:t>
      </w:r>
      <w:r w:rsidR="00246BB3" w:rsidRPr="007B6667">
        <w:rPr>
          <w:rFonts w:eastAsia="標楷體"/>
          <w:sz w:val="20"/>
          <w:szCs w:val="20"/>
        </w:rPr>
        <w:t>增加為</w:t>
      </w:r>
      <w:r w:rsidR="00246BB3" w:rsidRPr="007B6667">
        <w:rPr>
          <w:rFonts w:eastAsia="標楷體"/>
          <w:sz w:val="20"/>
          <w:szCs w:val="20"/>
        </w:rPr>
        <w:t>0.78</w:t>
      </w:r>
      <w:r w:rsidR="00246BB3" w:rsidRPr="007B6667">
        <w:rPr>
          <w:rFonts w:eastAsia="標楷體"/>
          <w:sz w:val="20"/>
          <w:szCs w:val="20"/>
        </w:rPr>
        <w:t>，曾文水庫部分，依照原設計引水量進行最佳化蓄水規線操作得到的</w:t>
      </w:r>
      <w:r w:rsidR="00246BB3" w:rsidRPr="007B6667">
        <w:rPr>
          <w:rFonts w:eastAsia="標楷體"/>
          <w:sz w:val="20"/>
          <w:szCs w:val="20"/>
        </w:rPr>
        <w:t>EFCs</w:t>
      </w:r>
      <w:r w:rsidR="00246BB3" w:rsidRPr="007B6667">
        <w:rPr>
          <w:rFonts w:eastAsia="標楷體"/>
          <w:sz w:val="20"/>
          <w:szCs w:val="20"/>
        </w:rPr>
        <w:t>為</w:t>
      </w:r>
      <w:r w:rsidR="00246BB3" w:rsidRPr="007B6667">
        <w:rPr>
          <w:rFonts w:eastAsia="標楷體"/>
          <w:sz w:val="20"/>
          <w:szCs w:val="20"/>
        </w:rPr>
        <w:t>0.18</w:t>
      </w:r>
      <w:r w:rsidR="00246BB3" w:rsidRPr="007B6667">
        <w:rPr>
          <w:rFonts w:eastAsia="標楷體"/>
          <w:sz w:val="20"/>
          <w:szCs w:val="20"/>
        </w:rPr>
        <w:t>，改以最佳化模式引水量進行最佳化蓄水規線操作得到的</w:t>
      </w:r>
      <w:r w:rsidR="00246BB3" w:rsidRPr="007B6667">
        <w:rPr>
          <w:rFonts w:eastAsia="標楷體"/>
          <w:sz w:val="20"/>
          <w:szCs w:val="20"/>
        </w:rPr>
        <w:t>EFCs</w:t>
      </w:r>
      <w:r w:rsidR="00246BB3" w:rsidRPr="007B6667">
        <w:rPr>
          <w:rFonts w:eastAsia="標楷體"/>
          <w:sz w:val="20"/>
          <w:szCs w:val="20"/>
        </w:rPr>
        <w:t>為</w:t>
      </w:r>
      <w:r w:rsidR="00246BB3" w:rsidRPr="007B6667">
        <w:rPr>
          <w:rFonts w:eastAsia="標楷體"/>
          <w:sz w:val="20"/>
          <w:szCs w:val="20"/>
        </w:rPr>
        <w:t>0.51</w:t>
      </w:r>
      <w:r w:rsidR="00246BB3" w:rsidRPr="007B6667">
        <w:rPr>
          <w:rFonts w:eastAsia="標楷體"/>
          <w:sz w:val="20"/>
          <w:szCs w:val="20"/>
        </w:rPr>
        <w:t>，表</w:t>
      </w:r>
      <w:r w:rsidR="00246BB3" w:rsidRPr="007B6667">
        <w:rPr>
          <w:rFonts w:eastAsia="標楷體"/>
          <w:sz w:val="20"/>
          <w:szCs w:val="20"/>
        </w:rPr>
        <w:t>4</w:t>
      </w:r>
      <w:r w:rsidR="00246BB3" w:rsidRPr="007B6667">
        <w:rPr>
          <w:rFonts w:eastAsia="標楷體"/>
          <w:sz w:val="20"/>
          <w:szCs w:val="20"/>
        </w:rPr>
        <w:t>為荖濃溪細分出五個組別進行比較，其中小洪水的表現變差，高流量持平，其餘三組則都是變好，原因可能是原計畫是限制在豐水期取水，但豐水期間有可能有河川流量小的情形，如果該旬的流量是屬於極端低流量或每月低流量，就會造成取水後這兩組有較大幅度的退步，而最佳化模式的取水是依河川流量大小而有多寡之分，流量小的時候取水少，影響不大，流量大的時候取水多，就會對小洪水與大洪水有較大的影響；表</w:t>
      </w:r>
      <w:r w:rsidR="00246BB3" w:rsidRPr="007B6667">
        <w:rPr>
          <w:rFonts w:eastAsia="標楷體"/>
          <w:sz w:val="20"/>
          <w:szCs w:val="20"/>
        </w:rPr>
        <w:t>5</w:t>
      </w:r>
      <w:r w:rsidR="00246BB3" w:rsidRPr="007B6667">
        <w:rPr>
          <w:rFonts w:eastAsia="標楷體"/>
          <w:sz w:val="20"/>
          <w:szCs w:val="20"/>
        </w:rPr>
        <w:t>為曾文水庫五個組別的比較，</w:t>
      </w:r>
      <w:r w:rsidR="006356E1" w:rsidRPr="007B6667">
        <w:rPr>
          <w:rFonts w:eastAsia="標楷體"/>
          <w:sz w:val="20"/>
          <w:szCs w:val="20"/>
        </w:rPr>
        <w:t>其中極端低流量和低流量的進步不大，但所有組別均有提升，這是因為模式中考量了生態環境用水量，且豐水期間曾文水庫入流量本來就多，再加上從荖濃溪引來的水量也較多，因此高流量和小洪水的改善程度特別大。</w:t>
      </w:r>
    </w:p>
    <w:p w:rsidR="00C53FDA" w:rsidRPr="00C53FDA" w:rsidRDefault="00C53FDA" w:rsidP="007B6667">
      <w:pPr>
        <w:spacing w:beforeLines="50" w:before="120"/>
        <w:ind w:firstLineChars="200" w:firstLine="400"/>
        <w:jc w:val="both"/>
        <w:rPr>
          <w:rFonts w:eastAsia="標楷體"/>
          <w:sz w:val="20"/>
          <w:szCs w:val="20"/>
        </w:rPr>
      </w:pPr>
      <w:r w:rsidRPr="007B6667">
        <w:rPr>
          <w:rFonts w:eastAsia="標楷體"/>
          <w:sz w:val="20"/>
          <w:szCs w:val="20"/>
        </w:rPr>
        <w:t>綜合以上結果，最佳化模式在荖濃溪人類缺水、荖濃溪環境流態因子與曾文水庫流態因子三方面均有較好的表現，在曾文水庫人類缺水方面，最大連續缺水旬數仍是較好，但缺水量的部分，最佳化模式比原計畫方案多了約</w:t>
      </w:r>
      <w:r w:rsidRPr="007B6667">
        <w:rPr>
          <w:rFonts w:eastAsia="標楷體"/>
          <w:sz w:val="20"/>
          <w:szCs w:val="20"/>
        </w:rPr>
        <w:t>1,968</w:t>
      </w:r>
      <w:r w:rsidRPr="007B6667">
        <w:rPr>
          <w:rFonts w:eastAsia="標楷體"/>
          <w:sz w:val="20"/>
          <w:szCs w:val="20"/>
        </w:rPr>
        <w:t>萬立方公尺的缺水量，這是整個最佳化模式結果唯一比原計畫方案不足的地方，但若整合在荖濃溪減少的</w:t>
      </w:r>
      <w:r w:rsidRPr="007B6667">
        <w:rPr>
          <w:rFonts w:eastAsia="標楷體"/>
          <w:sz w:val="20"/>
          <w:szCs w:val="20"/>
        </w:rPr>
        <w:t>4,949</w:t>
      </w:r>
      <w:r w:rsidRPr="007B6667">
        <w:rPr>
          <w:rFonts w:eastAsia="標楷體"/>
          <w:sz w:val="20"/>
          <w:szCs w:val="20"/>
        </w:rPr>
        <w:t>萬立方公尺缺水量之後，最佳化模式的整體缺水量還是比原計畫方案少了</w:t>
      </w:r>
      <w:r w:rsidRPr="007B6667">
        <w:rPr>
          <w:rFonts w:eastAsia="標楷體"/>
          <w:sz w:val="20"/>
          <w:szCs w:val="20"/>
        </w:rPr>
        <w:t>2,981</w:t>
      </w:r>
      <w:r w:rsidRPr="007B6667">
        <w:rPr>
          <w:rFonts w:eastAsia="標楷體"/>
          <w:sz w:val="20"/>
          <w:szCs w:val="20"/>
        </w:rPr>
        <w:t>萬立方公尺；因此，就兩流域整體來看，本研究所提之最佳化模式具有比原計畫方案更好的操作結果，將取水時間分散到一年四季會比集中於豐水期更佳。</w:t>
      </w:r>
    </w:p>
    <w:p w:rsidR="00246BB3" w:rsidRPr="007B6667" w:rsidRDefault="00246BB3" w:rsidP="00C53FDA">
      <w:pPr>
        <w:spacing w:beforeLines="50" w:before="120" w:afterLines="50" w:after="120"/>
        <w:jc w:val="center"/>
        <w:rPr>
          <w:rFonts w:eastAsia="標楷體"/>
          <w:b/>
          <w:sz w:val="20"/>
          <w:szCs w:val="20"/>
        </w:rPr>
      </w:pPr>
      <w:r w:rsidRPr="007B6667">
        <w:rPr>
          <w:rFonts w:eastAsia="標楷體"/>
          <w:b/>
          <w:sz w:val="20"/>
          <w:szCs w:val="20"/>
        </w:rPr>
        <w:t>表</w:t>
      </w:r>
      <w:r w:rsidRPr="007B6667">
        <w:rPr>
          <w:rFonts w:eastAsia="標楷體"/>
          <w:b/>
          <w:sz w:val="20"/>
          <w:szCs w:val="20"/>
        </w:rPr>
        <w:t xml:space="preserve">3 </w:t>
      </w:r>
      <w:r w:rsidRPr="007B6667">
        <w:rPr>
          <w:rFonts w:eastAsia="標楷體"/>
          <w:b/>
          <w:sz w:val="20"/>
          <w:szCs w:val="20"/>
        </w:rPr>
        <w:t>環境流態因子目標比較</w:t>
      </w:r>
    </w:p>
    <w:tbl>
      <w:tblPr>
        <w:tblW w:w="0" w:type="auto"/>
        <w:jc w:val="center"/>
        <w:tblInd w:w="-322" w:type="dxa"/>
        <w:tblCellMar>
          <w:left w:w="0" w:type="dxa"/>
          <w:right w:w="0" w:type="dxa"/>
        </w:tblCellMar>
        <w:tblLook w:val="04A0" w:firstRow="1" w:lastRow="0" w:firstColumn="1" w:lastColumn="0" w:noHBand="0" w:noVBand="1"/>
      </w:tblPr>
      <w:tblGrid>
        <w:gridCol w:w="1137"/>
        <w:gridCol w:w="1090"/>
        <w:gridCol w:w="1275"/>
      </w:tblGrid>
      <w:tr w:rsidR="00246BB3" w:rsidRPr="007B6667" w:rsidTr="0034320A">
        <w:trPr>
          <w:trHeight w:val="330"/>
          <w:jc w:val="center"/>
        </w:trPr>
        <w:tc>
          <w:tcPr>
            <w:tcW w:w="1137" w:type="dxa"/>
            <w:tcBorders>
              <w:top w:val="single" w:sz="8" w:space="0" w:color="auto"/>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　</w:t>
            </w:r>
          </w:p>
        </w:tc>
        <w:tc>
          <w:tcPr>
            <w:tcW w:w="1090"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原設計量</w:t>
            </w:r>
          </w:p>
        </w:tc>
        <w:tc>
          <w:tcPr>
            <w:tcW w:w="1275"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最佳化模式</w:t>
            </w:r>
          </w:p>
        </w:tc>
      </w:tr>
      <w:tr w:rsidR="00246BB3" w:rsidRPr="007B6667" w:rsidTr="0034320A">
        <w:trPr>
          <w:trHeight w:val="330"/>
          <w:jc w:val="center"/>
        </w:trPr>
        <w:tc>
          <w:tcPr>
            <w:tcW w:w="1137"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荖濃溪</w:t>
            </w:r>
          </w:p>
        </w:tc>
        <w:tc>
          <w:tcPr>
            <w:tcW w:w="1090"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0.68 </w:t>
            </w:r>
          </w:p>
        </w:tc>
        <w:tc>
          <w:tcPr>
            <w:tcW w:w="1275"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0.78 </w:t>
            </w:r>
          </w:p>
        </w:tc>
      </w:tr>
      <w:tr w:rsidR="00246BB3" w:rsidRPr="007B6667" w:rsidTr="0034320A">
        <w:trPr>
          <w:trHeight w:val="345"/>
          <w:jc w:val="center"/>
        </w:trPr>
        <w:tc>
          <w:tcPr>
            <w:tcW w:w="1137" w:type="dxa"/>
            <w:tcBorders>
              <w:top w:val="nil"/>
              <w:left w:val="single" w:sz="8" w:space="0" w:color="auto"/>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曾文水庫</w:t>
            </w:r>
          </w:p>
        </w:tc>
        <w:tc>
          <w:tcPr>
            <w:tcW w:w="1090"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0.18 </w:t>
            </w:r>
          </w:p>
        </w:tc>
        <w:tc>
          <w:tcPr>
            <w:tcW w:w="1275"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0.51 </w:t>
            </w:r>
          </w:p>
        </w:tc>
      </w:tr>
    </w:tbl>
    <w:p w:rsidR="00C53FDA" w:rsidRDefault="00C53FDA" w:rsidP="00C53FDA">
      <w:pPr>
        <w:spacing w:beforeLines="100" w:before="240" w:afterLines="50" w:after="120"/>
        <w:ind w:leftChars="50" w:left="520" w:rightChars="50" w:right="120" w:hangingChars="200" w:hanging="400"/>
        <w:rPr>
          <w:rFonts w:eastAsia="標楷體"/>
          <w:b/>
          <w:sz w:val="20"/>
          <w:szCs w:val="20"/>
        </w:rPr>
      </w:pPr>
    </w:p>
    <w:p w:rsidR="00C53FDA" w:rsidRDefault="00C53FDA" w:rsidP="00C53FDA">
      <w:pPr>
        <w:spacing w:beforeLines="100" w:before="240" w:afterLines="50" w:after="120"/>
        <w:ind w:leftChars="50" w:left="520" w:rightChars="50" w:right="120" w:hangingChars="200" w:hanging="400"/>
        <w:rPr>
          <w:rFonts w:eastAsia="標楷體"/>
          <w:b/>
          <w:sz w:val="20"/>
          <w:szCs w:val="20"/>
        </w:rPr>
      </w:pPr>
    </w:p>
    <w:p w:rsidR="00246BB3" w:rsidRPr="007B6667" w:rsidRDefault="00246BB3" w:rsidP="00C53FDA">
      <w:pPr>
        <w:spacing w:beforeLines="100" w:before="240" w:afterLines="50" w:after="120"/>
        <w:ind w:leftChars="50" w:left="520" w:rightChars="50" w:right="120" w:hangingChars="200" w:hanging="400"/>
        <w:rPr>
          <w:rFonts w:eastAsia="標楷體"/>
          <w:b/>
          <w:sz w:val="20"/>
          <w:szCs w:val="20"/>
        </w:rPr>
      </w:pPr>
      <w:r w:rsidRPr="007B6667">
        <w:rPr>
          <w:rFonts w:eastAsia="標楷體"/>
          <w:b/>
          <w:sz w:val="20"/>
          <w:szCs w:val="20"/>
        </w:rPr>
        <w:lastRenderedPageBreak/>
        <w:t>表</w:t>
      </w:r>
      <w:r w:rsidRPr="007B6667">
        <w:rPr>
          <w:rFonts w:eastAsia="標楷體"/>
          <w:b/>
          <w:sz w:val="20"/>
          <w:szCs w:val="20"/>
        </w:rPr>
        <w:t xml:space="preserve">4 </w:t>
      </w:r>
      <w:r w:rsidRPr="007B6667">
        <w:rPr>
          <w:rFonts w:eastAsia="標楷體"/>
          <w:b/>
          <w:sz w:val="20"/>
          <w:szCs w:val="20"/>
        </w:rPr>
        <w:t>荖濃溪原計畫量與最佳化模式之各組環境流態因子分數比較</w:t>
      </w:r>
    </w:p>
    <w:tbl>
      <w:tblPr>
        <w:tblW w:w="0" w:type="auto"/>
        <w:jc w:val="center"/>
        <w:tblInd w:w="-144" w:type="dxa"/>
        <w:tblCellMar>
          <w:left w:w="0" w:type="dxa"/>
          <w:right w:w="0" w:type="dxa"/>
        </w:tblCellMar>
        <w:tblLook w:val="04A0" w:firstRow="1" w:lastRow="0" w:firstColumn="1" w:lastColumn="0" w:noHBand="0" w:noVBand="1"/>
      </w:tblPr>
      <w:tblGrid>
        <w:gridCol w:w="1359"/>
        <w:gridCol w:w="1141"/>
        <w:gridCol w:w="1363"/>
      </w:tblGrid>
      <w:tr w:rsidR="00246BB3" w:rsidRPr="007B6667" w:rsidTr="0034320A">
        <w:trPr>
          <w:trHeight w:val="330"/>
          <w:jc w:val="center"/>
        </w:trPr>
        <w:tc>
          <w:tcPr>
            <w:tcW w:w="1359" w:type="dxa"/>
            <w:tcBorders>
              <w:top w:val="single" w:sz="8" w:space="0" w:color="auto"/>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　</w:t>
            </w:r>
          </w:p>
        </w:tc>
        <w:tc>
          <w:tcPr>
            <w:tcW w:w="1141"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原設計量</w:t>
            </w:r>
          </w:p>
        </w:tc>
        <w:tc>
          <w:tcPr>
            <w:tcW w:w="1363"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最佳化模式</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極端低流量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0.38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0.90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低流量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0.54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0.87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高流量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0.89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0.89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小洪水</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0.88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0.68 </w:t>
            </w:r>
          </w:p>
        </w:tc>
      </w:tr>
      <w:tr w:rsidR="00246BB3" w:rsidRPr="007B6667" w:rsidTr="0034320A">
        <w:trPr>
          <w:trHeight w:val="345"/>
          <w:jc w:val="center"/>
        </w:trPr>
        <w:tc>
          <w:tcPr>
            <w:tcW w:w="1359" w:type="dxa"/>
            <w:tcBorders>
              <w:top w:val="nil"/>
              <w:left w:val="single" w:sz="8" w:space="0" w:color="auto"/>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大洪水</w:t>
            </w:r>
          </w:p>
        </w:tc>
        <w:tc>
          <w:tcPr>
            <w:tcW w:w="1141"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0.43 </w:t>
            </w:r>
          </w:p>
        </w:tc>
        <w:tc>
          <w:tcPr>
            <w:tcW w:w="1363"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0.57 </w:t>
            </w:r>
          </w:p>
        </w:tc>
      </w:tr>
    </w:tbl>
    <w:p w:rsidR="00246BB3" w:rsidRPr="007B6667" w:rsidRDefault="00246BB3" w:rsidP="00C53FDA">
      <w:pPr>
        <w:spacing w:beforeLines="100" w:before="240" w:afterLines="50" w:after="120"/>
        <w:ind w:leftChars="50" w:left="520" w:rightChars="50" w:right="120" w:hangingChars="200" w:hanging="400"/>
        <w:rPr>
          <w:rFonts w:eastAsia="標楷體"/>
          <w:b/>
          <w:sz w:val="20"/>
          <w:szCs w:val="20"/>
        </w:rPr>
      </w:pPr>
      <w:r w:rsidRPr="007B6667">
        <w:rPr>
          <w:rFonts w:eastAsia="標楷體"/>
          <w:b/>
          <w:sz w:val="20"/>
          <w:szCs w:val="20"/>
        </w:rPr>
        <w:t>表</w:t>
      </w:r>
      <w:r w:rsidRPr="007B6667">
        <w:rPr>
          <w:rFonts w:eastAsia="標楷體"/>
          <w:b/>
          <w:sz w:val="20"/>
          <w:szCs w:val="20"/>
        </w:rPr>
        <w:t xml:space="preserve">5 </w:t>
      </w:r>
      <w:r w:rsidRPr="007B6667">
        <w:rPr>
          <w:rFonts w:eastAsia="標楷體"/>
          <w:b/>
          <w:sz w:val="20"/>
          <w:szCs w:val="20"/>
        </w:rPr>
        <w:t>曾文水庫原計畫量與最佳化模式之各組環境流態因子分數比較</w:t>
      </w:r>
    </w:p>
    <w:tbl>
      <w:tblPr>
        <w:tblW w:w="0" w:type="auto"/>
        <w:jc w:val="center"/>
        <w:tblInd w:w="-144" w:type="dxa"/>
        <w:tblCellMar>
          <w:left w:w="0" w:type="dxa"/>
          <w:right w:w="0" w:type="dxa"/>
        </w:tblCellMar>
        <w:tblLook w:val="04A0" w:firstRow="1" w:lastRow="0" w:firstColumn="1" w:lastColumn="0" w:noHBand="0" w:noVBand="1"/>
      </w:tblPr>
      <w:tblGrid>
        <w:gridCol w:w="1359"/>
        <w:gridCol w:w="1141"/>
        <w:gridCol w:w="1363"/>
      </w:tblGrid>
      <w:tr w:rsidR="00246BB3" w:rsidRPr="007B6667" w:rsidTr="0034320A">
        <w:trPr>
          <w:trHeight w:val="330"/>
          <w:jc w:val="center"/>
        </w:trPr>
        <w:tc>
          <w:tcPr>
            <w:tcW w:w="1359" w:type="dxa"/>
            <w:tcBorders>
              <w:top w:val="single" w:sz="8" w:space="0" w:color="auto"/>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　</w:t>
            </w:r>
          </w:p>
        </w:tc>
        <w:tc>
          <w:tcPr>
            <w:tcW w:w="1141"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原設計量</w:t>
            </w:r>
          </w:p>
        </w:tc>
        <w:tc>
          <w:tcPr>
            <w:tcW w:w="1363" w:type="dxa"/>
            <w:tcBorders>
              <w:top w:val="single" w:sz="8" w:space="0" w:color="auto"/>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最佳化模式</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極端低流量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0.00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0.06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低流量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0.00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0.04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高流量</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0.39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0.78 </w:t>
            </w:r>
          </w:p>
        </w:tc>
      </w:tr>
      <w:tr w:rsidR="00246BB3" w:rsidRPr="007B6667" w:rsidTr="0034320A">
        <w:trPr>
          <w:trHeight w:val="330"/>
          <w:jc w:val="center"/>
        </w:trPr>
        <w:tc>
          <w:tcPr>
            <w:tcW w:w="1359" w:type="dxa"/>
            <w:tcBorders>
              <w:top w:val="nil"/>
              <w:left w:val="single" w:sz="8" w:space="0" w:color="auto"/>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小洪水</w:t>
            </w:r>
          </w:p>
        </w:tc>
        <w:tc>
          <w:tcPr>
            <w:tcW w:w="1141"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0.27 </w:t>
            </w:r>
          </w:p>
        </w:tc>
        <w:tc>
          <w:tcPr>
            <w:tcW w:w="1363" w:type="dxa"/>
            <w:tcBorders>
              <w:top w:val="nil"/>
              <w:left w:val="nil"/>
              <w:bottom w:val="single" w:sz="4"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0.88 </w:t>
            </w:r>
          </w:p>
        </w:tc>
      </w:tr>
      <w:tr w:rsidR="00246BB3" w:rsidRPr="007B6667" w:rsidTr="0034320A">
        <w:trPr>
          <w:trHeight w:val="345"/>
          <w:jc w:val="center"/>
        </w:trPr>
        <w:tc>
          <w:tcPr>
            <w:tcW w:w="1359" w:type="dxa"/>
            <w:tcBorders>
              <w:top w:val="nil"/>
              <w:left w:val="single" w:sz="8" w:space="0" w:color="auto"/>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大洪水</w:t>
            </w:r>
          </w:p>
        </w:tc>
        <w:tc>
          <w:tcPr>
            <w:tcW w:w="1141"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0.00 </w:t>
            </w:r>
          </w:p>
        </w:tc>
        <w:tc>
          <w:tcPr>
            <w:tcW w:w="1363" w:type="dxa"/>
            <w:tcBorders>
              <w:top w:val="nil"/>
              <w:left w:val="nil"/>
              <w:bottom w:val="single" w:sz="8" w:space="0" w:color="auto"/>
              <w:right w:val="single" w:sz="4" w:space="0" w:color="auto"/>
            </w:tcBorders>
            <w:shd w:val="clear" w:color="auto" w:fill="auto"/>
            <w:noWrap/>
            <w:vAlign w:val="bottom"/>
          </w:tcPr>
          <w:p w:rsidR="00246BB3" w:rsidRPr="007B6667" w:rsidRDefault="00246BB3" w:rsidP="007B6667">
            <w:pPr>
              <w:widowControl/>
              <w:jc w:val="center"/>
              <w:rPr>
                <w:rFonts w:eastAsia="標楷體"/>
                <w:kern w:val="0"/>
                <w:sz w:val="20"/>
                <w:szCs w:val="20"/>
              </w:rPr>
            </w:pPr>
            <w:r w:rsidRPr="007B6667">
              <w:rPr>
                <w:rFonts w:eastAsia="標楷體"/>
                <w:kern w:val="0"/>
                <w:sz w:val="20"/>
                <w:szCs w:val="20"/>
              </w:rPr>
              <w:t xml:space="preserve">0.21 </w:t>
            </w:r>
          </w:p>
        </w:tc>
      </w:tr>
    </w:tbl>
    <w:p w:rsidR="00322A1F" w:rsidRPr="007B6667" w:rsidRDefault="00322A1F" w:rsidP="0020109F">
      <w:pPr>
        <w:pStyle w:val="a8"/>
        <w:numPr>
          <w:ilvl w:val="0"/>
          <w:numId w:val="5"/>
        </w:numPr>
        <w:spacing w:beforeLines="50" w:before="120"/>
        <w:ind w:leftChars="0"/>
        <w:jc w:val="center"/>
        <w:rPr>
          <w:rFonts w:eastAsia="標楷體"/>
          <w:b/>
          <w:sz w:val="22"/>
        </w:rPr>
      </w:pPr>
      <w:r w:rsidRPr="007B6667">
        <w:rPr>
          <w:rFonts w:eastAsia="標楷體"/>
          <w:b/>
          <w:sz w:val="22"/>
        </w:rPr>
        <w:t>結論</w:t>
      </w:r>
    </w:p>
    <w:p w:rsidR="008829A6" w:rsidRPr="007B6667" w:rsidRDefault="00983594"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t>(</w:t>
      </w:r>
      <w:r w:rsidR="008829A6" w:rsidRPr="007B6667">
        <w:rPr>
          <w:rFonts w:ascii="Times New Roman" w:eastAsia="標楷體" w:hAnsi="Times New Roman"/>
          <w:sz w:val="20"/>
          <w:szCs w:val="20"/>
        </w:rPr>
        <w:t>一</w:t>
      </w:r>
      <w:r w:rsidRPr="007B6667">
        <w:rPr>
          <w:rFonts w:ascii="Times New Roman" w:eastAsia="標楷體" w:hAnsi="Times New Roman"/>
          <w:sz w:val="20"/>
          <w:szCs w:val="20"/>
        </w:rPr>
        <w:t>)</w:t>
      </w:r>
      <w:r w:rsidR="008829A6" w:rsidRPr="007B6667">
        <w:rPr>
          <w:rFonts w:ascii="Times New Roman" w:eastAsia="標楷體" w:hAnsi="Times New Roman"/>
          <w:sz w:val="20"/>
          <w:szCs w:val="20"/>
        </w:rPr>
        <w:t>本研究之最佳化模式結果在荖濃溪人類用水目標、荖濃溪環境流態因子與曾文水庫環境流態因子三方面的表現都較原計畫方式優良，唯獨在曾文水庫人類用水量該項目標表現較差，整體而言，本最佳化模式是具有可行性的，而且如果未來我們更能接受保護生態環境是保障人類可以持續發展的基礎條件的觀念，那麼本研究將可提供做為水資源管理決策時的重要參考。</w:t>
      </w:r>
    </w:p>
    <w:p w:rsidR="008829A6" w:rsidRPr="007B6667" w:rsidRDefault="00983594"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t>(</w:t>
      </w:r>
      <w:r w:rsidR="008829A6" w:rsidRPr="007B6667">
        <w:rPr>
          <w:rFonts w:ascii="Times New Roman" w:eastAsia="標楷體" w:hAnsi="Times New Roman"/>
          <w:sz w:val="20"/>
          <w:szCs w:val="20"/>
        </w:rPr>
        <w:t>二</w:t>
      </w:r>
      <w:r w:rsidRPr="007B6667">
        <w:rPr>
          <w:rFonts w:ascii="Times New Roman" w:eastAsia="標楷體" w:hAnsi="Times New Roman"/>
          <w:sz w:val="20"/>
          <w:szCs w:val="20"/>
        </w:rPr>
        <w:t>)</w:t>
      </w:r>
      <w:r w:rsidR="008829A6" w:rsidRPr="007B6667">
        <w:rPr>
          <w:rFonts w:ascii="Times New Roman" w:eastAsia="標楷體" w:hAnsi="Times New Roman"/>
          <w:sz w:val="20"/>
          <w:szCs w:val="20"/>
        </w:rPr>
        <w:t>在權重變化分析中，缺水量與環境流態因子</w:t>
      </w:r>
      <w:r w:rsidR="00A63A95" w:rsidRPr="007B6667">
        <w:rPr>
          <w:rFonts w:ascii="Times New Roman" w:eastAsia="標楷體" w:hAnsi="Times New Roman"/>
          <w:sz w:val="20"/>
          <w:szCs w:val="20"/>
        </w:rPr>
        <w:t>兩者間</w:t>
      </w:r>
      <w:r w:rsidR="008829A6" w:rsidRPr="007B6667">
        <w:rPr>
          <w:rFonts w:ascii="Times New Roman" w:eastAsia="標楷體" w:hAnsi="Times New Roman"/>
          <w:sz w:val="20"/>
          <w:szCs w:val="20"/>
        </w:rPr>
        <w:t>呈現出良好的相關性。</w:t>
      </w:r>
    </w:p>
    <w:p w:rsidR="008829A6" w:rsidRPr="007B6667" w:rsidRDefault="00983594" w:rsidP="007B6667">
      <w:pPr>
        <w:pStyle w:val="a8"/>
        <w:spacing w:beforeLines="50" w:before="120"/>
        <w:ind w:leftChars="0" w:left="0" w:firstLineChars="200" w:firstLine="400"/>
        <w:jc w:val="both"/>
        <w:rPr>
          <w:rFonts w:ascii="Times New Roman" w:eastAsia="標楷體" w:hAnsi="Times New Roman"/>
          <w:sz w:val="20"/>
          <w:szCs w:val="20"/>
        </w:rPr>
      </w:pPr>
      <w:r w:rsidRPr="007B6667">
        <w:rPr>
          <w:rFonts w:ascii="Times New Roman" w:eastAsia="標楷體" w:hAnsi="Times New Roman"/>
          <w:sz w:val="20"/>
          <w:szCs w:val="20"/>
        </w:rPr>
        <w:t>(</w:t>
      </w:r>
      <w:r w:rsidR="008829A6" w:rsidRPr="007B6667">
        <w:rPr>
          <w:rFonts w:ascii="Times New Roman" w:eastAsia="標楷體" w:hAnsi="Times New Roman"/>
          <w:sz w:val="20"/>
          <w:szCs w:val="20"/>
        </w:rPr>
        <w:t>三</w:t>
      </w:r>
      <w:r w:rsidRPr="007B6667">
        <w:rPr>
          <w:rFonts w:ascii="Times New Roman" w:eastAsia="標楷體" w:hAnsi="Times New Roman"/>
          <w:sz w:val="20"/>
          <w:szCs w:val="20"/>
        </w:rPr>
        <w:t>)</w:t>
      </w:r>
      <w:r w:rsidR="008829A6" w:rsidRPr="007B6667">
        <w:rPr>
          <w:rFonts w:ascii="Times New Roman" w:eastAsia="標楷體" w:hAnsi="Times New Roman"/>
          <w:sz w:val="20"/>
          <w:szCs w:val="20"/>
        </w:rPr>
        <w:t>本研究以遺傳演算法為最佳化方法，同時操作兩組決策變數：荖濃溪引水比例與曾文水庫蓄水規線，結果證明遺傳演算法可以正常運作，同時處理多組不相關決策變數的最佳化演算問題。</w:t>
      </w:r>
    </w:p>
    <w:p w:rsidR="003C4BD0" w:rsidRPr="007B6667" w:rsidRDefault="00983594" w:rsidP="007B6667">
      <w:pPr>
        <w:spacing w:beforeLines="50" w:before="120"/>
        <w:ind w:firstLineChars="200" w:firstLine="400"/>
        <w:jc w:val="both"/>
        <w:rPr>
          <w:rFonts w:eastAsia="標楷體"/>
          <w:sz w:val="20"/>
          <w:szCs w:val="20"/>
        </w:rPr>
      </w:pPr>
      <w:r w:rsidRPr="007B6667">
        <w:rPr>
          <w:rFonts w:eastAsia="標楷體"/>
          <w:sz w:val="20"/>
          <w:szCs w:val="20"/>
        </w:rPr>
        <w:t>(</w:t>
      </w:r>
      <w:r w:rsidR="008829A6" w:rsidRPr="007B6667">
        <w:rPr>
          <w:rFonts w:eastAsia="標楷體"/>
          <w:sz w:val="20"/>
          <w:szCs w:val="20"/>
        </w:rPr>
        <w:t>四</w:t>
      </w:r>
      <w:r w:rsidRPr="007B6667">
        <w:rPr>
          <w:rFonts w:eastAsia="標楷體"/>
          <w:sz w:val="20"/>
          <w:szCs w:val="20"/>
        </w:rPr>
        <w:t>)</w:t>
      </w:r>
      <w:r w:rsidR="008829A6" w:rsidRPr="007B6667">
        <w:rPr>
          <w:rFonts w:eastAsia="標楷體"/>
          <w:sz w:val="20"/>
          <w:szCs w:val="20"/>
        </w:rPr>
        <w:t>本</w:t>
      </w:r>
      <w:r w:rsidR="00A63A95" w:rsidRPr="007B6667">
        <w:rPr>
          <w:rFonts w:eastAsia="標楷體"/>
          <w:sz w:val="20"/>
          <w:szCs w:val="20"/>
        </w:rPr>
        <w:t>研究之最佳化模式適當反應了分配給各種目標之權重值，管理者可以依</w:t>
      </w:r>
      <w:r w:rsidR="008829A6" w:rsidRPr="007B6667">
        <w:rPr>
          <w:rFonts w:eastAsia="標楷體"/>
          <w:sz w:val="20"/>
          <w:szCs w:val="20"/>
        </w:rPr>
        <w:t>需要調整權重，獲得符合期待的引水比例與水庫蓄水規線。</w:t>
      </w:r>
    </w:p>
    <w:p w:rsidR="004D2FEB" w:rsidRPr="007B6667" w:rsidRDefault="009E6F10" w:rsidP="0020109F">
      <w:pPr>
        <w:pStyle w:val="a8"/>
        <w:numPr>
          <w:ilvl w:val="0"/>
          <w:numId w:val="5"/>
        </w:numPr>
        <w:spacing w:beforeLines="50" w:before="120"/>
        <w:ind w:leftChars="0"/>
        <w:jc w:val="center"/>
        <w:rPr>
          <w:rFonts w:eastAsia="標楷體"/>
          <w:b/>
          <w:sz w:val="22"/>
        </w:rPr>
      </w:pPr>
      <w:r w:rsidRPr="007B6667">
        <w:rPr>
          <w:rFonts w:eastAsia="標楷體"/>
          <w:b/>
          <w:sz w:val="22"/>
        </w:rPr>
        <w:t>誌</w:t>
      </w:r>
      <w:r w:rsidR="004D2FEB" w:rsidRPr="007B6667">
        <w:rPr>
          <w:rFonts w:eastAsia="標楷體"/>
          <w:b/>
          <w:sz w:val="22"/>
        </w:rPr>
        <w:t>謝</w:t>
      </w:r>
    </w:p>
    <w:p w:rsidR="004D2FEB" w:rsidRPr="007B6667" w:rsidRDefault="004D2FEB" w:rsidP="007B6667">
      <w:pPr>
        <w:spacing w:beforeLines="50" w:before="120"/>
        <w:ind w:firstLineChars="200" w:firstLine="400"/>
        <w:jc w:val="both"/>
        <w:rPr>
          <w:rFonts w:eastAsia="標楷體"/>
          <w:sz w:val="20"/>
          <w:szCs w:val="20"/>
        </w:rPr>
      </w:pPr>
      <w:r w:rsidRPr="007B6667">
        <w:rPr>
          <w:rFonts w:eastAsia="標楷體"/>
          <w:sz w:val="20"/>
          <w:szCs w:val="20"/>
        </w:rPr>
        <w:t>本研究承蒙國科會專題研究計畫</w:t>
      </w:r>
      <w:r w:rsidRPr="007B6667">
        <w:rPr>
          <w:rFonts w:eastAsia="標楷體"/>
          <w:sz w:val="20"/>
          <w:szCs w:val="20"/>
        </w:rPr>
        <w:t>96-2221-E-006-264-MY3</w:t>
      </w:r>
      <w:r w:rsidRPr="007B6667">
        <w:rPr>
          <w:rFonts w:eastAsia="標楷體"/>
          <w:sz w:val="20"/>
          <w:szCs w:val="20"/>
        </w:rPr>
        <w:t>經費補助，特此申謝。</w:t>
      </w:r>
    </w:p>
    <w:p w:rsidR="003C4BD0" w:rsidRPr="007B6667" w:rsidRDefault="003C4BD0" w:rsidP="007B6667">
      <w:pPr>
        <w:spacing w:beforeLines="50" w:before="120"/>
        <w:jc w:val="center"/>
        <w:rPr>
          <w:rFonts w:eastAsia="標楷體"/>
          <w:b/>
          <w:sz w:val="22"/>
          <w:szCs w:val="22"/>
        </w:rPr>
      </w:pPr>
      <w:r w:rsidRPr="007B6667">
        <w:rPr>
          <w:rFonts w:eastAsia="標楷體"/>
          <w:b/>
          <w:sz w:val="22"/>
          <w:szCs w:val="22"/>
        </w:rPr>
        <w:t>參考文獻</w:t>
      </w:r>
    </w:p>
    <w:p w:rsidR="002712D5" w:rsidRPr="007B6667" w:rsidRDefault="002712D5" w:rsidP="007B6667">
      <w:pPr>
        <w:numPr>
          <w:ilvl w:val="0"/>
          <w:numId w:val="4"/>
        </w:numPr>
        <w:tabs>
          <w:tab w:val="clear" w:pos="480"/>
        </w:tabs>
        <w:spacing w:beforeLines="50" w:before="120"/>
        <w:ind w:left="284" w:hanging="284"/>
        <w:jc w:val="both"/>
        <w:rPr>
          <w:rFonts w:eastAsia="標楷體"/>
          <w:sz w:val="20"/>
          <w:szCs w:val="20"/>
        </w:rPr>
      </w:pPr>
      <w:r w:rsidRPr="007B6667">
        <w:rPr>
          <w:rFonts w:eastAsia="標楷體"/>
          <w:sz w:val="20"/>
          <w:szCs w:val="20"/>
        </w:rPr>
        <w:t>台灣省水利處</w:t>
      </w:r>
      <w:r w:rsidR="00190291">
        <w:rPr>
          <w:rFonts w:eastAsia="標楷體" w:hint="eastAsia"/>
          <w:sz w:val="20"/>
          <w:szCs w:val="20"/>
        </w:rPr>
        <w:t>(1997)</w:t>
      </w:r>
      <w:r w:rsidRPr="007B6667">
        <w:rPr>
          <w:rFonts w:eastAsia="標楷體"/>
          <w:sz w:val="20"/>
          <w:szCs w:val="20"/>
        </w:rPr>
        <w:t>，「曾文水庫越域引水可行性規劃專題報告</w:t>
      </w:r>
      <w:r w:rsidRPr="007B6667">
        <w:rPr>
          <w:rFonts w:eastAsia="標楷體"/>
          <w:sz w:val="20"/>
          <w:szCs w:val="20"/>
        </w:rPr>
        <w:t>(</w:t>
      </w:r>
      <w:r w:rsidRPr="007B6667">
        <w:rPr>
          <w:rFonts w:eastAsia="標楷體"/>
          <w:sz w:val="20"/>
          <w:szCs w:val="20"/>
        </w:rPr>
        <w:t>一</w:t>
      </w:r>
      <w:r w:rsidRPr="007B6667">
        <w:rPr>
          <w:rFonts w:eastAsia="標楷體"/>
          <w:sz w:val="20"/>
          <w:szCs w:val="20"/>
        </w:rPr>
        <w:t>)</w:t>
      </w:r>
      <w:r w:rsidR="00190291">
        <w:rPr>
          <w:rFonts w:eastAsia="標楷體"/>
          <w:sz w:val="20"/>
          <w:szCs w:val="20"/>
        </w:rPr>
        <w:t>水源運用研究」</w:t>
      </w:r>
      <w:r w:rsidR="00D8445B">
        <w:rPr>
          <w:rFonts w:eastAsia="標楷體" w:hint="eastAsia"/>
          <w:sz w:val="20"/>
          <w:szCs w:val="20"/>
        </w:rPr>
        <w:t>，</w:t>
      </w:r>
      <w:r w:rsidR="00D8445B" w:rsidRPr="007B6667">
        <w:rPr>
          <w:rFonts w:eastAsia="標楷體"/>
          <w:sz w:val="20"/>
          <w:szCs w:val="20"/>
        </w:rPr>
        <w:t>台灣省水利處</w:t>
      </w:r>
      <w:r w:rsidR="00190291">
        <w:rPr>
          <w:rFonts w:eastAsia="標楷體" w:hint="eastAsia"/>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proofErr w:type="spellStart"/>
      <w:r w:rsidRPr="007B6667">
        <w:rPr>
          <w:rFonts w:eastAsia="標楷體"/>
          <w:kern w:val="0"/>
          <w:sz w:val="20"/>
          <w:szCs w:val="20"/>
        </w:rPr>
        <w:t>Poff</w:t>
      </w:r>
      <w:proofErr w:type="spellEnd"/>
      <w:r w:rsidRPr="007B6667">
        <w:rPr>
          <w:rFonts w:eastAsia="標楷體"/>
          <w:kern w:val="0"/>
          <w:sz w:val="20"/>
          <w:szCs w:val="20"/>
        </w:rPr>
        <w:t xml:space="preserve"> N. L., J. D. Allan, M. B. Bain, J. R. Karr, K. L. </w:t>
      </w:r>
      <w:proofErr w:type="spellStart"/>
      <w:r w:rsidRPr="007B6667">
        <w:rPr>
          <w:rFonts w:eastAsia="標楷體"/>
          <w:kern w:val="0"/>
          <w:sz w:val="20"/>
          <w:szCs w:val="20"/>
        </w:rPr>
        <w:t>Prestegaard</w:t>
      </w:r>
      <w:proofErr w:type="spellEnd"/>
      <w:r w:rsidRPr="007B6667">
        <w:rPr>
          <w:rFonts w:eastAsia="標楷體"/>
          <w:kern w:val="0"/>
          <w:sz w:val="20"/>
          <w:szCs w:val="20"/>
        </w:rPr>
        <w:t>, B. D. Richter, R. E. Sparks, and J. C. Stromberg.</w:t>
      </w:r>
      <w:r w:rsidR="00190291">
        <w:rPr>
          <w:rFonts w:eastAsia="標楷體" w:hint="eastAsia"/>
          <w:kern w:val="0"/>
          <w:sz w:val="20"/>
          <w:szCs w:val="20"/>
        </w:rPr>
        <w:t>(1997)</w:t>
      </w:r>
      <w:r w:rsidRPr="007B6667">
        <w:rPr>
          <w:rFonts w:eastAsia="標楷體"/>
          <w:kern w:val="0"/>
          <w:sz w:val="20"/>
          <w:szCs w:val="20"/>
        </w:rPr>
        <w:t>, “The Natural Flow Regime</w:t>
      </w:r>
      <w:r w:rsidR="00190291">
        <w:rPr>
          <w:rFonts w:eastAsia="標楷體"/>
          <w:kern w:val="0"/>
          <w:sz w:val="20"/>
          <w:szCs w:val="20"/>
        </w:rPr>
        <w:t>.”, Bioscience 47</w:t>
      </w:r>
      <w:r w:rsidR="00190291">
        <w:rPr>
          <w:rFonts w:eastAsia="標楷體" w:hint="eastAsia"/>
          <w:kern w:val="0"/>
          <w:sz w:val="20"/>
          <w:szCs w:val="20"/>
        </w:rPr>
        <w:t>, pp.</w:t>
      </w:r>
      <w:r w:rsidR="00190291">
        <w:rPr>
          <w:rFonts w:eastAsia="標楷體"/>
          <w:kern w:val="0"/>
          <w:sz w:val="20"/>
          <w:szCs w:val="20"/>
        </w:rPr>
        <w:t xml:space="preserve"> 769-784</w:t>
      </w:r>
      <w:r w:rsidR="00190291">
        <w:rPr>
          <w:rFonts w:eastAsia="標楷體" w:hint="eastAsia"/>
          <w:kern w:val="0"/>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sz w:val="20"/>
          <w:szCs w:val="20"/>
        </w:rPr>
      </w:pPr>
      <w:r w:rsidRPr="007B6667">
        <w:rPr>
          <w:rFonts w:eastAsia="標楷體"/>
          <w:sz w:val="20"/>
          <w:szCs w:val="20"/>
        </w:rPr>
        <w:lastRenderedPageBreak/>
        <w:t>Richter B. D., J. V. Baumgartner, J. Powell, and D. P. Braun</w:t>
      </w:r>
      <w:r w:rsidR="00190291">
        <w:rPr>
          <w:rFonts w:eastAsia="標楷體" w:hint="eastAsia"/>
          <w:sz w:val="20"/>
          <w:szCs w:val="20"/>
        </w:rPr>
        <w:t>(1996)</w:t>
      </w:r>
      <w:r w:rsidRPr="007B6667">
        <w:rPr>
          <w:rFonts w:eastAsia="標楷體"/>
          <w:sz w:val="20"/>
          <w:szCs w:val="20"/>
        </w:rPr>
        <w:t xml:space="preserve">, “A method for assessing hydrologic alteration within ecosystems.”, Conservation </w:t>
      </w:r>
      <w:r w:rsidR="00190291">
        <w:rPr>
          <w:rFonts w:eastAsia="標楷體"/>
          <w:sz w:val="20"/>
          <w:szCs w:val="20"/>
        </w:rPr>
        <w:t>Biology, 10(4)</w:t>
      </w:r>
      <w:r w:rsidR="00190291">
        <w:rPr>
          <w:rFonts w:eastAsia="標楷體" w:hint="eastAsia"/>
          <w:sz w:val="20"/>
          <w:szCs w:val="20"/>
        </w:rPr>
        <w:t xml:space="preserve">, pp. </w:t>
      </w:r>
      <w:r w:rsidR="00190291">
        <w:rPr>
          <w:rFonts w:eastAsia="標楷體"/>
          <w:sz w:val="20"/>
          <w:szCs w:val="20"/>
        </w:rPr>
        <w:t>1163-1174</w:t>
      </w:r>
      <w:r w:rsidR="00190291">
        <w:rPr>
          <w:rFonts w:eastAsia="標楷體" w:hint="eastAsia"/>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 xml:space="preserve">Richter B. D., J. V. Baumgartner, R. </w:t>
      </w:r>
      <w:proofErr w:type="spellStart"/>
      <w:r w:rsidRPr="007B6667">
        <w:rPr>
          <w:rFonts w:eastAsia="標楷體"/>
          <w:kern w:val="0"/>
          <w:sz w:val="20"/>
          <w:szCs w:val="20"/>
        </w:rPr>
        <w:t>Wigington</w:t>
      </w:r>
      <w:proofErr w:type="spellEnd"/>
      <w:r w:rsidRPr="007B6667">
        <w:rPr>
          <w:rFonts w:eastAsia="標楷體"/>
          <w:kern w:val="0"/>
          <w:sz w:val="20"/>
          <w:szCs w:val="20"/>
        </w:rPr>
        <w:t>, and D. P. Braun</w:t>
      </w:r>
      <w:r w:rsidR="00190291">
        <w:rPr>
          <w:rFonts w:eastAsia="標楷體" w:hint="eastAsia"/>
          <w:kern w:val="0"/>
          <w:sz w:val="20"/>
          <w:szCs w:val="20"/>
        </w:rPr>
        <w:t>(1997)</w:t>
      </w:r>
      <w:r w:rsidRPr="007B6667">
        <w:rPr>
          <w:rFonts w:eastAsia="標楷體"/>
          <w:kern w:val="0"/>
          <w:sz w:val="20"/>
          <w:szCs w:val="20"/>
        </w:rPr>
        <w:t>, “How Much Water Does A River Need.”, Freshwat</w:t>
      </w:r>
      <w:r w:rsidR="00190291">
        <w:rPr>
          <w:rFonts w:eastAsia="標楷體"/>
          <w:kern w:val="0"/>
          <w:sz w:val="20"/>
          <w:szCs w:val="20"/>
        </w:rPr>
        <w:t>er Biology, 37(1)</w:t>
      </w:r>
      <w:r w:rsidR="00190291">
        <w:rPr>
          <w:rFonts w:eastAsia="標楷體" w:hint="eastAsia"/>
          <w:kern w:val="0"/>
          <w:sz w:val="20"/>
          <w:szCs w:val="20"/>
        </w:rPr>
        <w:t xml:space="preserve">, pp. </w:t>
      </w:r>
      <w:r w:rsidR="00190291">
        <w:rPr>
          <w:rFonts w:eastAsia="標楷體"/>
          <w:kern w:val="0"/>
          <w:sz w:val="20"/>
          <w:szCs w:val="20"/>
        </w:rPr>
        <w:t>231-249</w:t>
      </w:r>
      <w:r w:rsidR="00190291">
        <w:rPr>
          <w:rFonts w:eastAsia="標楷體" w:hint="eastAsia"/>
          <w:kern w:val="0"/>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Richter B. D., J. V. Baumgartner, D. P. Braun, and J. Powell</w:t>
      </w:r>
      <w:r w:rsidR="00190291">
        <w:rPr>
          <w:rFonts w:eastAsia="標楷體" w:hint="eastAsia"/>
          <w:kern w:val="0"/>
          <w:sz w:val="20"/>
          <w:szCs w:val="20"/>
        </w:rPr>
        <w:t>(1998)</w:t>
      </w:r>
      <w:r w:rsidRPr="007B6667">
        <w:rPr>
          <w:rFonts w:eastAsia="標楷體"/>
          <w:kern w:val="0"/>
          <w:sz w:val="20"/>
          <w:szCs w:val="20"/>
        </w:rPr>
        <w:t xml:space="preserve">, “A Spatial Assessment of Hydrologic Alteration within A River Network.”, Regulated River: Research </w:t>
      </w:r>
      <w:r w:rsidR="00190291">
        <w:rPr>
          <w:rFonts w:eastAsia="標楷體"/>
          <w:kern w:val="0"/>
          <w:sz w:val="20"/>
          <w:szCs w:val="20"/>
        </w:rPr>
        <w:t>and Management 14</w:t>
      </w:r>
      <w:r w:rsidR="00190291">
        <w:rPr>
          <w:rFonts w:eastAsia="標楷體" w:hint="eastAsia"/>
          <w:kern w:val="0"/>
          <w:sz w:val="20"/>
          <w:szCs w:val="20"/>
        </w:rPr>
        <w:t xml:space="preserve">, pp. </w:t>
      </w:r>
      <w:r w:rsidR="00190291">
        <w:rPr>
          <w:rFonts w:eastAsia="標楷體"/>
          <w:kern w:val="0"/>
          <w:sz w:val="20"/>
          <w:szCs w:val="20"/>
        </w:rPr>
        <w:t>329-340</w:t>
      </w:r>
      <w:r w:rsidR="00190291">
        <w:rPr>
          <w:rFonts w:eastAsia="標楷體" w:hint="eastAsia"/>
          <w:kern w:val="0"/>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Richter B. D. and G. A. Thomas</w:t>
      </w:r>
      <w:r w:rsidR="00190291">
        <w:rPr>
          <w:rFonts w:eastAsia="標楷體" w:hint="eastAsia"/>
          <w:kern w:val="0"/>
          <w:sz w:val="20"/>
          <w:szCs w:val="20"/>
        </w:rPr>
        <w:t>(2007)</w:t>
      </w:r>
      <w:r w:rsidRPr="007B6667">
        <w:rPr>
          <w:rFonts w:eastAsia="標楷體"/>
          <w:kern w:val="0"/>
          <w:sz w:val="20"/>
          <w:szCs w:val="20"/>
        </w:rPr>
        <w:t>, “Restoring Environmental Flows by Modifying Dam Operatio</w:t>
      </w:r>
      <w:r w:rsidR="00190291">
        <w:rPr>
          <w:rFonts w:eastAsia="標楷體"/>
          <w:kern w:val="0"/>
          <w:sz w:val="20"/>
          <w:szCs w:val="20"/>
        </w:rPr>
        <w:t>ns.”, Ecology and Society 12(1)</w:t>
      </w:r>
      <w:r w:rsidR="00190291">
        <w:rPr>
          <w:rFonts w:eastAsia="標楷體" w:hint="eastAsia"/>
          <w:kern w:val="0"/>
          <w:sz w:val="20"/>
          <w:szCs w:val="20"/>
        </w:rPr>
        <w:t>, pp.</w:t>
      </w:r>
      <w:r w:rsidR="00190291">
        <w:rPr>
          <w:rFonts w:eastAsia="標楷體"/>
          <w:kern w:val="0"/>
          <w:sz w:val="20"/>
          <w:szCs w:val="20"/>
        </w:rPr>
        <w:t xml:space="preserve"> 12.</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proofErr w:type="spellStart"/>
      <w:r w:rsidRPr="007B6667">
        <w:rPr>
          <w:rFonts w:eastAsia="標楷體"/>
          <w:kern w:val="0"/>
          <w:sz w:val="20"/>
          <w:szCs w:val="20"/>
        </w:rPr>
        <w:t>Liong</w:t>
      </w:r>
      <w:proofErr w:type="spellEnd"/>
      <w:r w:rsidRPr="007B6667">
        <w:rPr>
          <w:rFonts w:eastAsia="標楷體"/>
          <w:kern w:val="0"/>
          <w:sz w:val="20"/>
          <w:szCs w:val="20"/>
        </w:rPr>
        <w:t xml:space="preserve"> S. Y., W. T. Chan, and J. </w:t>
      </w:r>
      <w:proofErr w:type="spellStart"/>
      <w:r w:rsidRPr="007B6667">
        <w:rPr>
          <w:rFonts w:eastAsia="標楷體"/>
          <w:kern w:val="0"/>
          <w:sz w:val="20"/>
          <w:szCs w:val="20"/>
        </w:rPr>
        <w:t>ShreeRam</w:t>
      </w:r>
      <w:proofErr w:type="spellEnd"/>
      <w:r w:rsidR="00190291">
        <w:rPr>
          <w:rFonts w:eastAsia="標楷體" w:hint="eastAsia"/>
          <w:kern w:val="0"/>
          <w:sz w:val="20"/>
          <w:szCs w:val="20"/>
        </w:rPr>
        <w:t>(1995)</w:t>
      </w:r>
      <w:r w:rsidRPr="007B6667">
        <w:rPr>
          <w:rFonts w:eastAsia="標楷體"/>
          <w:kern w:val="0"/>
          <w:sz w:val="20"/>
          <w:szCs w:val="20"/>
        </w:rPr>
        <w:t xml:space="preserve">, “Peak flow forecasting with genetic algorithm and SWMM.”, </w:t>
      </w:r>
      <w:r w:rsidRPr="007B6667">
        <w:rPr>
          <w:rFonts w:eastAsia="標楷體"/>
          <w:iCs/>
          <w:kern w:val="0"/>
          <w:sz w:val="20"/>
          <w:szCs w:val="20"/>
        </w:rPr>
        <w:t xml:space="preserve">J. </w:t>
      </w:r>
      <w:proofErr w:type="spellStart"/>
      <w:r w:rsidRPr="007B6667">
        <w:rPr>
          <w:rFonts w:eastAsia="標楷體"/>
          <w:iCs/>
          <w:kern w:val="0"/>
          <w:sz w:val="20"/>
          <w:szCs w:val="20"/>
        </w:rPr>
        <w:t>Hydraul</w:t>
      </w:r>
      <w:proofErr w:type="spellEnd"/>
      <w:r w:rsidRPr="007B6667">
        <w:rPr>
          <w:rFonts w:eastAsia="標楷體"/>
          <w:iCs/>
          <w:kern w:val="0"/>
          <w:sz w:val="20"/>
          <w:szCs w:val="20"/>
        </w:rPr>
        <w:t xml:space="preserve">. </w:t>
      </w:r>
      <w:smartTag w:uri="urn:schemas-microsoft-com:office:smarttags" w:element="country-region">
        <w:smartTag w:uri="urn:schemas-microsoft-com:office:smarttags" w:element="place">
          <w:r w:rsidRPr="007B6667">
            <w:rPr>
              <w:rFonts w:eastAsia="標楷體"/>
              <w:iCs/>
              <w:kern w:val="0"/>
              <w:sz w:val="20"/>
              <w:szCs w:val="20"/>
            </w:rPr>
            <w:t>Eng.</w:t>
          </w:r>
        </w:smartTag>
      </w:smartTag>
      <w:r w:rsidRPr="007B6667">
        <w:rPr>
          <w:rFonts w:eastAsia="標楷體"/>
          <w:kern w:val="0"/>
          <w:sz w:val="20"/>
          <w:szCs w:val="20"/>
        </w:rPr>
        <w:t>, 121(8),</w:t>
      </w:r>
      <w:r w:rsidR="00190291">
        <w:rPr>
          <w:rFonts w:eastAsia="標楷體" w:hint="eastAsia"/>
          <w:kern w:val="0"/>
          <w:sz w:val="20"/>
          <w:szCs w:val="20"/>
        </w:rPr>
        <w:t xml:space="preserve"> pp.</w:t>
      </w:r>
      <w:r w:rsidR="00190291">
        <w:rPr>
          <w:rFonts w:eastAsia="標楷體"/>
          <w:kern w:val="0"/>
          <w:sz w:val="20"/>
          <w:szCs w:val="20"/>
        </w:rPr>
        <w:t xml:space="preserve"> 613–617.</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Goldberg D. E.</w:t>
      </w:r>
      <w:r w:rsidR="00190291">
        <w:rPr>
          <w:rFonts w:eastAsia="標楷體" w:hint="eastAsia"/>
          <w:kern w:val="0"/>
          <w:sz w:val="20"/>
          <w:szCs w:val="20"/>
        </w:rPr>
        <w:t xml:space="preserve"> (1999)</w:t>
      </w:r>
      <w:r w:rsidRPr="007B6667">
        <w:rPr>
          <w:rFonts w:eastAsia="標楷體"/>
          <w:kern w:val="0"/>
          <w:sz w:val="20"/>
          <w:szCs w:val="20"/>
        </w:rPr>
        <w:t>, “</w:t>
      </w:r>
      <w:r w:rsidRPr="007B6667">
        <w:rPr>
          <w:rFonts w:eastAsia="標楷體"/>
          <w:iCs/>
          <w:kern w:val="0"/>
          <w:sz w:val="20"/>
          <w:szCs w:val="20"/>
        </w:rPr>
        <w:t>Genetic algorithms.”</w:t>
      </w:r>
      <w:r w:rsidRPr="007B6667">
        <w:rPr>
          <w:rFonts w:eastAsia="標楷體"/>
          <w:kern w:val="0"/>
          <w:sz w:val="20"/>
          <w:szCs w:val="20"/>
        </w:rPr>
        <w:t>, Addison-Wesley, Reading, Mass.</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Cheng C. T., X. Y. Wu, and K. W. Chau</w:t>
      </w:r>
      <w:r w:rsidR="00190291">
        <w:rPr>
          <w:rFonts w:eastAsia="標楷體" w:hint="eastAsia"/>
          <w:kern w:val="0"/>
          <w:sz w:val="20"/>
          <w:szCs w:val="20"/>
        </w:rPr>
        <w:t>(2005)</w:t>
      </w:r>
      <w:r w:rsidRPr="007B6667">
        <w:rPr>
          <w:rFonts w:eastAsia="標楷體"/>
          <w:kern w:val="0"/>
          <w:sz w:val="20"/>
          <w:szCs w:val="20"/>
        </w:rPr>
        <w:t xml:space="preserve">, “Multiple criteria rainfall-runoff model calibration using a parallel genetic algorithm in a cluster of computer.”, </w:t>
      </w:r>
      <w:proofErr w:type="spellStart"/>
      <w:r w:rsidRPr="007B6667">
        <w:rPr>
          <w:rFonts w:eastAsia="標楷體"/>
          <w:iCs/>
          <w:kern w:val="0"/>
          <w:sz w:val="20"/>
          <w:szCs w:val="20"/>
        </w:rPr>
        <w:t>Hydrol</w:t>
      </w:r>
      <w:proofErr w:type="spellEnd"/>
      <w:r w:rsidRPr="007B6667">
        <w:rPr>
          <w:rFonts w:eastAsia="標楷體"/>
          <w:iCs/>
          <w:kern w:val="0"/>
          <w:sz w:val="20"/>
          <w:szCs w:val="20"/>
        </w:rPr>
        <w:t>. Sci. J.</w:t>
      </w:r>
      <w:r w:rsidRPr="007B6667">
        <w:rPr>
          <w:rFonts w:eastAsia="標楷體"/>
          <w:kern w:val="0"/>
          <w:sz w:val="20"/>
          <w:szCs w:val="20"/>
        </w:rPr>
        <w:t xml:space="preserve">, 50(6), </w:t>
      </w:r>
      <w:r w:rsidR="00190291">
        <w:rPr>
          <w:rFonts w:eastAsia="標楷體" w:hint="eastAsia"/>
          <w:kern w:val="0"/>
          <w:sz w:val="20"/>
          <w:szCs w:val="20"/>
        </w:rPr>
        <w:t xml:space="preserve">pp. </w:t>
      </w:r>
      <w:r w:rsidR="00190291">
        <w:rPr>
          <w:rFonts w:eastAsia="標楷體"/>
          <w:kern w:val="0"/>
          <w:sz w:val="20"/>
          <w:szCs w:val="20"/>
        </w:rPr>
        <w:t>1069–1088</w:t>
      </w:r>
      <w:r w:rsidR="00190291">
        <w:rPr>
          <w:rFonts w:eastAsia="標楷體" w:hint="eastAsia"/>
          <w:kern w:val="0"/>
          <w:sz w:val="20"/>
          <w:szCs w:val="20"/>
        </w:rPr>
        <w:t>.</w:t>
      </w:r>
    </w:p>
    <w:p w:rsidR="00CD4D7B" w:rsidRPr="007B6667" w:rsidRDefault="00CD4D7B" w:rsidP="007B6667">
      <w:pPr>
        <w:numPr>
          <w:ilvl w:val="0"/>
          <w:numId w:val="4"/>
        </w:numPr>
        <w:tabs>
          <w:tab w:val="clear" w:pos="480"/>
        </w:tabs>
        <w:spacing w:beforeLines="50" w:before="120"/>
        <w:ind w:left="284" w:hanging="284"/>
        <w:jc w:val="both"/>
        <w:rPr>
          <w:rFonts w:eastAsia="標楷體"/>
          <w:kern w:val="0"/>
          <w:sz w:val="20"/>
          <w:szCs w:val="20"/>
        </w:rPr>
      </w:pPr>
      <w:proofErr w:type="spellStart"/>
      <w:r w:rsidRPr="007B6667">
        <w:rPr>
          <w:rFonts w:eastAsia="標楷體"/>
          <w:kern w:val="0"/>
          <w:sz w:val="20"/>
          <w:szCs w:val="20"/>
        </w:rPr>
        <w:t>Hejazi</w:t>
      </w:r>
      <w:proofErr w:type="spellEnd"/>
      <w:r w:rsidRPr="007B6667">
        <w:rPr>
          <w:rFonts w:eastAsia="標楷體"/>
          <w:kern w:val="0"/>
          <w:sz w:val="20"/>
          <w:szCs w:val="20"/>
        </w:rPr>
        <w:t xml:space="preserve"> M. I., X. M. </w:t>
      </w:r>
      <w:proofErr w:type="spellStart"/>
      <w:r w:rsidRPr="007B6667">
        <w:rPr>
          <w:rFonts w:eastAsia="標楷體"/>
          <w:kern w:val="0"/>
          <w:sz w:val="20"/>
          <w:szCs w:val="20"/>
        </w:rPr>
        <w:t>Cai</w:t>
      </w:r>
      <w:proofErr w:type="spellEnd"/>
      <w:r w:rsidRPr="007B6667">
        <w:rPr>
          <w:rFonts w:eastAsia="標楷體"/>
          <w:kern w:val="0"/>
          <w:sz w:val="20"/>
          <w:szCs w:val="20"/>
        </w:rPr>
        <w:t>, and D. K. Borah</w:t>
      </w:r>
      <w:r w:rsidR="00190291">
        <w:rPr>
          <w:rFonts w:eastAsia="標楷體" w:hint="eastAsia"/>
          <w:kern w:val="0"/>
          <w:sz w:val="20"/>
          <w:szCs w:val="20"/>
        </w:rPr>
        <w:t>(2008)</w:t>
      </w:r>
      <w:r w:rsidRPr="007B6667">
        <w:rPr>
          <w:rFonts w:eastAsia="標楷體"/>
          <w:kern w:val="0"/>
          <w:sz w:val="20"/>
          <w:szCs w:val="20"/>
        </w:rPr>
        <w:t xml:space="preserve">, “Calibrating a watershed simulation model involving human interference: An application of multi-objective genetic algorithms.”, </w:t>
      </w:r>
      <w:r w:rsidRPr="007B6667">
        <w:rPr>
          <w:rFonts w:eastAsia="標楷體"/>
          <w:iCs/>
          <w:kern w:val="0"/>
          <w:sz w:val="20"/>
          <w:szCs w:val="20"/>
        </w:rPr>
        <w:t xml:space="preserve">J. </w:t>
      </w:r>
      <w:proofErr w:type="spellStart"/>
      <w:r w:rsidRPr="007B6667">
        <w:rPr>
          <w:rFonts w:eastAsia="標楷體"/>
          <w:iCs/>
          <w:kern w:val="0"/>
          <w:sz w:val="20"/>
          <w:szCs w:val="20"/>
        </w:rPr>
        <w:t>Hydroinform</w:t>
      </w:r>
      <w:proofErr w:type="spellEnd"/>
      <w:r w:rsidRPr="007B6667">
        <w:rPr>
          <w:rFonts w:eastAsia="標楷體"/>
          <w:iCs/>
          <w:kern w:val="0"/>
          <w:sz w:val="20"/>
          <w:szCs w:val="20"/>
        </w:rPr>
        <w:t>.</w:t>
      </w:r>
      <w:r w:rsidR="00190291">
        <w:rPr>
          <w:rFonts w:eastAsia="標楷體"/>
          <w:kern w:val="0"/>
          <w:sz w:val="20"/>
          <w:szCs w:val="20"/>
        </w:rPr>
        <w:t xml:space="preserve">, 10(1), </w:t>
      </w:r>
      <w:r w:rsidR="00190291">
        <w:rPr>
          <w:rFonts w:eastAsia="標楷體" w:hint="eastAsia"/>
          <w:kern w:val="0"/>
          <w:sz w:val="20"/>
          <w:szCs w:val="20"/>
        </w:rPr>
        <w:t xml:space="preserve">pp. </w:t>
      </w:r>
      <w:r w:rsidR="00190291">
        <w:rPr>
          <w:rFonts w:eastAsia="標楷體"/>
          <w:kern w:val="0"/>
          <w:sz w:val="20"/>
          <w:szCs w:val="20"/>
        </w:rPr>
        <w:t>97–111</w:t>
      </w:r>
      <w:r w:rsidR="00190291">
        <w:rPr>
          <w:rFonts w:eastAsia="標楷體" w:hint="eastAsia"/>
          <w:kern w:val="0"/>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sz w:val="20"/>
          <w:szCs w:val="20"/>
        </w:rPr>
      </w:pPr>
      <w:proofErr w:type="spellStart"/>
      <w:r w:rsidRPr="007B6667">
        <w:rPr>
          <w:rFonts w:eastAsia="標楷體"/>
          <w:kern w:val="0"/>
          <w:sz w:val="20"/>
          <w:szCs w:val="20"/>
        </w:rPr>
        <w:t>Tayfur</w:t>
      </w:r>
      <w:proofErr w:type="spellEnd"/>
      <w:r w:rsidRPr="007B6667">
        <w:rPr>
          <w:rFonts w:eastAsia="標楷體"/>
          <w:kern w:val="0"/>
          <w:sz w:val="20"/>
          <w:szCs w:val="20"/>
        </w:rPr>
        <w:t xml:space="preserve"> G., </w:t>
      </w:r>
      <w:smartTag w:uri="urn:schemas-microsoft-com:office:smarttags" w:element="place">
        <w:r w:rsidRPr="007B6667">
          <w:rPr>
            <w:rFonts w:eastAsia="標楷體"/>
            <w:kern w:val="0"/>
            <w:sz w:val="20"/>
            <w:szCs w:val="20"/>
          </w:rPr>
          <w:t xml:space="preserve">S. </w:t>
        </w:r>
        <w:proofErr w:type="spellStart"/>
        <w:r w:rsidRPr="007B6667">
          <w:rPr>
            <w:rFonts w:eastAsia="標楷體"/>
            <w:kern w:val="0"/>
            <w:sz w:val="20"/>
            <w:szCs w:val="20"/>
          </w:rPr>
          <w:t>Barbetta</w:t>
        </w:r>
      </w:smartTag>
      <w:proofErr w:type="spellEnd"/>
      <w:r w:rsidRPr="007B6667">
        <w:rPr>
          <w:rFonts w:eastAsia="標楷體"/>
          <w:kern w:val="0"/>
          <w:sz w:val="20"/>
          <w:szCs w:val="20"/>
        </w:rPr>
        <w:t xml:space="preserve">, and T. </w:t>
      </w:r>
      <w:proofErr w:type="spellStart"/>
      <w:r w:rsidRPr="007B6667">
        <w:rPr>
          <w:rFonts w:eastAsia="標楷體"/>
          <w:kern w:val="0"/>
          <w:sz w:val="20"/>
          <w:szCs w:val="20"/>
        </w:rPr>
        <w:t>Moramarco</w:t>
      </w:r>
      <w:proofErr w:type="spellEnd"/>
      <w:r w:rsidR="00190291">
        <w:rPr>
          <w:rFonts w:eastAsia="標楷體" w:hint="eastAsia"/>
          <w:kern w:val="0"/>
          <w:sz w:val="20"/>
          <w:szCs w:val="20"/>
        </w:rPr>
        <w:t>(2009)</w:t>
      </w:r>
      <w:r w:rsidRPr="007B6667">
        <w:rPr>
          <w:rFonts w:eastAsia="標楷體"/>
          <w:kern w:val="0"/>
          <w:sz w:val="20"/>
          <w:szCs w:val="20"/>
        </w:rPr>
        <w:t>, “Genetic Algorithm-Based Discharge Estimation at Sites Receiving Lateral Inflows.”, Journal o</w:t>
      </w:r>
      <w:r w:rsidR="00190291">
        <w:rPr>
          <w:rFonts w:eastAsia="標楷體"/>
          <w:kern w:val="0"/>
          <w:sz w:val="20"/>
          <w:szCs w:val="20"/>
        </w:rPr>
        <w:t>f Hydrologic Engineering, 14(5)</w:t>
      </w:r>
      <w:r w:rsidR="00190291">
        <w:rPr>
          <w:rFonts w:eastAsia="標楷體" w:hint="eastAsia"/>
          <w:kern w:val="0"/>
          <w:sz w:val="20"/>
          <w:szCs w:val="20"/>
        </w:rPr>
        <w:t>, pp.</w:t>
      </w:r>
      <w:r w:rsidRPr="007B6667">
        <w:rPr>
          <w:rFonts w:eastAsia="標楷體"/>
          <w:kern w:val="0"/>
          <w:sz w:val="20"/>
          <w:szCs w:val="20"/>
        </w:rPr>
        <w:t xml:space="preserve"> 463-474</w:t>
      </w:r>
      <w:r w:rsidR="00190291">
        <w:rPr>
          <w:rFonts w:eastAsia="標楷體" w:hint="eastAsia"/>
          <w:kern w:val="0"/>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sz w:val="20"/>
          <w:szCs w:val="20"/>
        </w:rPr>
      </w:pPr>
      <w:r w:rsidRPr="007B6667">
        <w:rPr>
          <w:rFonts w:eastAsia="標楷體"/>
          <w:kern w:val="0"/>
          <w:sz w:val="20"/>
          <w:szCs w:val="20"/>
        </w:rPr>
        <w:t>張麗秋、張斐章</w:t>
      </w:r>
      <w:r w:rsidR="00190291">
        <w:rPr>
          <w:rFonts w:eastAsia="標楷體" w:hint="eastAsia"/>
          <w:kern w:val="0"/>
          <w:sz w:val="20"/>
          <w:szCs w:val="20"/>
        </w:rPr>
        <w:t>(1999)</w:t>
      </w:r>
      <w:r w:rsidRPr="007B6667">
        <w:rPr>
          <w:rFonts w:eastAsia="標楷體"/>
          <w:kern w:val="0"/>
          <w:sz w:val="20"/>
          <w:szCs w:val="20"/>
        </w:rPr>
        <w:t>，「智慧型水庫即時操作控制系統」，農業工程學報，</w:t>
      </w:r>
      <w:r w:rsidRPr="007B6667">
        <w:rPr>
          <w:rFonts w:eastAsia="標楷體"/>
          <w:kern w:val="0"/>
          <w:sz w:val="20"/>
          <w:szCs w:val="20"/>
        </w:rPr>
        <w:t>45(4)</w:t>
      </w:r>
      <w:r w:rsidR="00190291">
        <w:rPr>
          <w:rFonts w:eastAsia="標楷體" w:hint="eastAsia"/>
          <w:kern w:val="0"/>
          <w:sz w:val="20"/>
          <w:szCs w:val="20"/>
        </w:rPr>
        <w:t>，第</w:t>
      </w:r>
      <w:r w:rsidRPr="007B6667">
        <w:rPr>
          <w:rFonts w:eastAsia="標楷體"/>
          <w:kern w:val="0"/>
          <w:sz w:val="20"/>
          <w:szCs w:val="20"/>
        </w:rPr>
        <w:t>18-30</w:t>
      </w:r>
      <w:r w:rsidR="00190291">
        <w:rPr>
          <w:rFonts w:eastAsia="標楷體" w:hint="eastAsia"/>
          <w:kern w:val="0"/>
          <w:sz w:val="20"/>
          <w:szCs w:val="20"/>
        </w:rPr>
        <w:t>頁。</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sz w:val="20"/>
          <w:szCs w:val="20"/>
        </w:rPr>
        <w:t>East V. and M. J. Hall</w:t>
      </w:r>
      <w:r w:rsidR="00190291">
        <w:rPr>
          <w:rFonts w:eastAsia="標楷體" w:hint="eastAsia"/>
          <w:sz w:val="20"/>
          <w:szCs w:val="20"/>
        </w:rPr>
        <w:t>(1994)</w:t>
      </w:r>
      <w:r w:rsidRPr="007B6667">
        <w:rPr>
          <w:rFonts w:eastAsia="標楷體"/>
          <w:sz w:val="20"/>
          <w:szCs w:val="20"/>
        </w:rPr>
        <w:t xml:space="preserve">, “Water resource system optimization using genetic algorithms.” </w:t>
      </w:r>
      <w:proofErr w:type="spellStart"/>
      <w:r w:rsidRPr="007B6667">
        <w:rPr>
          <w:rFonts w:eastAsia="標楷體"/>
          <w:sz w:val="20"/>
          <w:szCs w:val="20"/>
        </w:rPr>
        <w:t>Hydroinformatics</w:t>
      </w:r>
      <w:proofErr w:type="spellEnd"/>
      <w:r w:rsidRPr="007B6667">
        <w:rPr>
          <w:rFonts w:eastAsia="標楷體"/>
          <w:sz w:val="20"/>
          <w:szCs w:val="20"/>
        </w:rPr>
        <w:t xml:space="preserve"> 94, Proc., 1</w:t>
      </w:r>
      <w:r w:rsidRPr="007B6667">
        <w:rPr>
          <w:rFonts w:eastAsia="標楷體"/>
          <w:sz w:val="20"/>
          <w:szCs w:val="20"/>
          <w:vertAlign w:val="superscript"/>
        </w:rPr>
        <w:t>st</w:t>
      </w:r>
      <w:r w:rsidRPr="007B6667">
        <w:rPr>
          <w:rFonts w:eastAsia="標楷體"/>
          <w:sz w:val="20"/>
          <w:szCs w:val="20"/>
        </w:rPr>
        <w:t xml:space="preserve"> Int. Conf. on </w:t>
      </w:r>
      <w:proofErr w:type="spellStart"/>
      <w:r w:rsidRPr="007B6667">
        <w:rPr>
          <w:rFonts w:eastAsia="標楷體"/>
          <w:sz w:val="20"/>
          <w:szCs w:val="20"/>
        </w:rPr>
        <w:t>Hydroinformatics</w:t>
      </w:r>
      <w:proofErr w:type="spellEnd"/>
      <w:r w:rsidRPr="007B6667">
        <w:rPr>
          <w:rFonts w:eastAsia="標楷體"/>
          <w:sz w:val="20"/>
          <w:szCs w:val="20"/>
        </w:rPr>
        <w:t xml:space="preserve">, </w:t>
      </w:r>
      <w:proofErr w:type="spellStart"/>
      <w:r w:rsidRPr="007B6667">
        <w:rPr>
          <w:rFonts w:eastAsia="標楷體"/>
          <w:sz w:val="20"/>
          <w:szCs w:val="20"/>
        </w:rPr>
        <w:t>Balkema</w:t>
      </w:r>
      <w:proofErr w:type="spellEnd"/>
      <w:r w:rsidRPr="007B6667">
        <w:rPr>
          <w:rFonts w:eastAsia="標楷體"/>
          <w:sz w:val="20"/>
          <w:szCs w:val="20"/>
        </w:rPr>
        <w:t xml:space="preserve">, Rotterdam, The Netherlands, </w:t>
      </w:r>
      <w:r w:rsidR="00190291">
        <w:rPr>
          <w:rFonts w:eastAsia="標楷體" w:hint="eastAsia"/>
          <w:sz w:val="20"/>
          <w:szCs w:val="20"/>
        </w:rPr>
        <w:t xml:space="preserve">pp. </w:t>
      </w:r>
      <w:r w:rsidRPr="007B6667">
        <w:rPr>
          <w:rFonts w:eastAsia="標楷體"/>
          <w:sz w:val="20"/>
          <w:szCs w:val="20"/>
        </w:rPr>
        <w:t>225-231</w:t>
      </w:r>
      <w:r w:rsidR="00190291">
        <w:rPr>
          <w:rFonts w:eastAsia="標楷體" w:hint="eastAsia"/>
          <w:sz w:val="20"/>
          <w:szCs w:val="20"/>
        </w:rPr>
        <w:t>.</w:t>
      </w:r>
    </w:p>
    <w:p w:rsidR="00CD4D7B" w:rsidRPr="007B6667" w:rsidRDefault="00CD4D7B"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Suen J. P.</w:t>
      </w:r>
      <w:r w:rsidR="00D8445B">
        <w:rPr>
          <w:rFonts w:eastAsia="標楷體" w:hint="eastAsia"/>
          <w:kern w:val="0"/>
          <w:sz w:val="20"/>
          <w:szCs w:val="20"/>
        </w:rPr>
        <w:t xml:space="preserve"> (2005)</w:t>
      </w:r>
      <w:r w:rsidRPr="007B6667">
        <w:rPr>
          <w:rFonts w:eastAsia="標楷體"/>
          <w:kern w:val="0"/>
          <w:sz w:val="20"/>
          <w:szCs w:val="20"/>
        </w:rPr>
        <w:t>, “Ecological Based Methods for Multi-Objective Water Resources</w:t>
      </w:r>
      <w:r w:rsidRPr="007B6667">
        <w:rPr>
          <w:rFonts w:eastAsia="標楷體"/>
          <w:kern w:val="0"/>
          <w:sz w:val="20"/>
          <w:szCs w:val="20"/>
        </w:rPr>
        <w:t xml:space="preserve">　</w:t>
      </w:r>
      <w:r w:rsidRPr="007B6667">
        <w:rPr>
          <w:rFonts w:eastAsia="標楷體"/>
          <w:kern w:val="0"/>
          <w:sz w:val="20"/>
          <w:szCs w:val="20"/>
        </w:rPr>
        <w:t>Management in Taiwan.”, Ph. D. dissertation, University of Illinois, Urbana</w:t>
      </w:r>
      <w:r w:rsidR="00D8445B">
        <w:rPr>
          <w:rFonts w:eastAsia="標楷體" w:hint="eastAsia"/>
          <w:kern w:val="0"/>
          <w:sz w:val="20"/>
          <w:szCs w:val="20"/>
        </w:rPr>
        <w:t>.</w:t>
      </w:r>
    </w:p>
    <w:p w:rsidR="00CD4D7B" w:rsidRPr="007B6667" w:rsidRDefault="00CD4D7B" w:rsidP="007B6667">
      <w:pPr>
        <w:numPr>
          <w:ilvl w:val="0"/>
          <w:numId w:val="4"/>
        </w:numPr>
        <w:tabs>
          <w:tab w:val="clear" w:pos="480"/>
        </w:tabs>
        <w:spacing w:beforeLines="50" w:before="120"/>
        <w:ind w:left="284" w:hanging="284"/>
        <w:jc w:val="both"/>
        <w:rPr>
          <w:rFonts w:eastAsia="標楷體"/>
          <w:kern w:val="0"/>
          <w:sz w:val="20"/>
          <w:szCs w:val="20"/>
        </w:rPr>
      </w:pPr>
      <w:r w:rsidRPr="007B6667">
        <w:rPr>
          <w:rFonts w:eastAsia="標楷體"/>
          <w:kern w:val="0"/>
          <w:sz w:val="20"/>
          <w:szCs w:val="20"/>
        </w:rPr>
        <w:t xml:space="preserve">Suen J. P. and J. W. </w:t>
      </w:r>
      <w:proofErr w:type="spellStart"/>
      <w:r w:rsidRPr="007B6667">
        <w:rPr>
          <w:rFonts w:eastAsia="標楷體"/>
          <w:kern w:val="0"/>
          <w:sz w:val="20"/>
          <w:szCs w:val="20"/>
        </w:rPr>
        <w:t>Eheart</w:t>
      </w:r>
      <w:proofErr w:type="spellEnd"/>
      <w:r w:rsidR="00D8445B">
        <w:rPr>
          <w:rFonts w:eastAsia="標楷體" w:hint="eastAsia"/>
          <w:kern w:val="0"/>
          <w:sz w:val="20"/>
          <w:szCs w:val="20"/>
        </w:rPr>
        <w:t>(2006)</w:t>
      </w:r>
      <w:r w:rsidRPr="007B6667">
        <w:rPr>
          <w:rFonts w:eastAsia="標楷體"/>
          <w:kern w:val="0"/>
          <w:sz w:val="20"/>
          <w:szCs w:val="20"/>
        </w:rPr>
        <w:t>, “Reservoir Management to Balance Ecosystem and Human Needs: Incorporating the Paradigm of the Ecological Flow Regime.”, Water</w:t>
      </w:r>
      <w:r w:rsidRPr="007B6667">
        <w:rPr>
          <w:rFonts w:eastAsia="標楷體"/>
          <w:kern w:val="0"/>
          <w:sz w:val="20"/>
          <w:szCs w:val="20"/>
        </w:rPr>
        <w:t xml:space="preserve">　</w:t>
      </w:r>
      <w:r w:rsidRPr="007B6667">
        <w:rPr>
          <w:rFonts w:eastAsia="標楷體"/>
          <w:kern w:val="0"/>
          <w:sz w:val="20"/>
          <w:szCs w:val="20"/>
        </w:rPr>
        <w:t>Reso</w:t>
      </w:r>
      <w:r w:rsidR="00D8445B">
        <w:rPr>
          <w:rFonts w:eastAsia="標楷體"/>
          <w:kern w:val="0"/>
          <w:sz w:val="20"/>
          <w:szCs w:val="20"/>
        </w:rPr>
        <w:t>urces Research, 43(3): W03417.</w:t>
      </w:r>
    </w:p>
    <w:p w:rsidR="00CD4D7B" w:rsidRPr="007B6667" w:rsidRDefault="00CD4D7B" w:rsidP="007B6667">
      <w:pPr>
        <w:numPr>
          <w:ilvl w:val="0"/>
          <w:numId w:val="4"/>
        </w:numPr>
        <w:tabs>
          <w:tab w:val="clear" w:pos="480"/>
        </w:tabs>
        <w:spacing w:beforeLines="50" w:before="120"/>
        <w:ind w:left="284" w:hanging="284"/>
        <w:jc w:val="both"/>
        <w:rPr>
          <w:rFonts w:eastAsia="標楷體"/>
          <w:sz w:val="20"/>
          <w:szCs w:val="20"/>
        </w:rPr>
      </w:pPr>
      <w:r w:rsidRPr="007B6667">
        <w:rPr>
          <w:rFonts w:eastAsia="標楷體"/>
          <w:sz w:val="20"/>
          <w:szCs w:val="20"/>
        </w:rPr>
        <w:t>王瑞鋐</w:t>
      </w:r>
      <w:r w:rsidR="00D8445B">
        <w:rPr>
          <w:rFonts w:eastAsia="標楷體" w:hint="eastAsia"/>
          <w:sz w:val="20"/>
          <w:szCs w:val="20"/>
        </w:rPr>
        <w:t>(2009)</w:t>
      </w:r>
      <w:r w:rsidRPr="007B6667">
        <w:rPr>
          <w:rFonts w:eastAsia="標楷體"/>
          <w:sz w:val="20"/>
          <w:szCs w:val="20"/>
        </w:rPr>
        <w:t>，「</w:t>
      </w:r>
      <w:r w:rsidRPr="007B6667">
        <w:rPr>
          <w:rFonts w:eastAsia="標楷體"/>
          <w:kern w:val="0"/>
          <w:sz w:val="20"/>
          <w:szCs w:val="20"/>
        </w:rPr>
        <w:t>考量下游水質及河川流態於水庫最佳化操作之研究</w:t>
      </w:r>
      <w:r w:rsidR="00D8445B">
        <w:rPr>
          <w:rFonts w:eastAsia="標楷體"/>
          <w:sz w:val="20"/>
          <w:szCs w:val="20"/>
        </w:rPr>
        <w:t>」，國立成功大學水利及海洋工程研究所碩士論文</w:t>
      </w:r>
      <w:r w:rsidR="00D8445B">
        <w:rPr>
          <w:rFonts w:eastAsia="標楷體" w:hint="eastAsia"/>
          <w:sz w:val="20"/>
          <w:szCs w:val="20"/>
        </w:rPr>
        <w:t>。</w:t>
      </w:r>
    </w:p>
    <w:p w:rsidR="002712D5" w:rsidRPr="007B6667" w:rsidRDefault="002712D5" w:rsidP="007B6667">
      <w:pPr>
        <w:numPr>
          <w:ilvl w:val="0"/>
          <w:numId w:val="4"/>
        </w:numPr>
        <w:tabs>
          <w:tab w:val="clear" w:pos="480"/>
        </w:tabs>
        <w:spacing w:beforeLines="50" w:before="120"/>
        <w:ind w:left="284" w:hanging="284"/>
        <w:jc w:val="both"/>
        <w:rPr>
          <w:rFonts w:eastAsia="標楷體"/>
          <w:kern w:val="0"/>
          <w:sz w:val="20"/>
          <w:szCs w:val="20"/>
        </w:rPr>
      </w:pPr>
      <w:smartTag w:uri="urn:schemas-microsoft-com:office:smarttags" w:element="City">
        <w:r w:rsidRPr="007B6667">
          <w:rPr>
            <w:rFonts w:eastAsia="標楷體"/>
            <w:kern w:val="0"/>
            <w:sz w:val="20"/>
            <w:szCs w:val="20"/>
          </w:rPr>
          <w:t>Holland</w:t>
        </w:r>
      </w:smartTag>
      <w:r w:rsidRPr="007B6667">
        <w:rPr>
          <w:rFonts w:eastAsia="標楷體"/>
          <w:kern w:val="0"/>
          <w:sz w:val="20"/>
          <w:szCs w:val="20"/>
        </w:rPr>
        <w:t xml:space="preserve"> J.</w:t>
      </w:r>
      <w:r w:rsidR="00D8445B">
        <w:rPr>
          <w:rFonts w:eastAsia="標楷體" w:hint="eastAsia"/>
          <w:kern w:val="0"/>
          <w:sz w:val="20"/>
          <w:szCs w:val="20"/>
        </w:rPr>
        <w:t xml:space="preserve"> (1975)</w:t>
      </w:r>
      <w:r w:rsidRPr="007B6667">
        <w:rPr>
          <w:rFonts w:eastAsia="標楷體"/>
          <w:kern w:val="0"/>
          <w:sz w:val="20"/>
          <w:szCs w:val="20"/>
        </w:rPr>
        <w:t>, “Adaptation in Nature and Artificial Systems.”, University of Michigan Press, Ann Arbor</w:t>
      </w:r>
      <w:r w:rsidR="00D8445B">
        <w:rPr>
          <w:rFonts w:eastAsia="標楷體" w:hint="eastAsia"/>
          <w:kern w:val="0"/>
          <w:sz w:val="20"/>
          <w:szCs w:val="20"/>
        </w:rPr>
        <w:t>.</w:t>
      </w:r>
    </w:p>
    <w:p w:rsidR="003C4BD0" w:rsidRPr="007B6667" w:rsidRDefault="0078665A" w:rsidP="007B6667">
      <w:pPr>
        <w:numPr>
          <w:ilvl w:val="0"/>
          <w:numId w:val="4"/>
        </w:numPr>
        <w:tabs>
          <w:tab w:val="clear" w:pos="480"/>
        </w:tabs>
        <w:spacing w:beforeLines="50" w:before="120"/>
        <w:ind w:left="284" w:hanging="284"/>
        <w:jc w:val="both"/>
        <w:rPr>
          <w:rFonts w:eastAsia="標楷體"/>
          <w:sz w:val="20"/>
          <w:szCs w:val="20"/>
        </w:rPr>
      </w:pPr>
      <w:r w:rsidRPr="007B6667">
        <w:rPr>
          <w:rFonts w:eastAsia="標楷體"/>
          <w:sz w:val="20"/>
          <w:szCs w:val="20"/>
        </w:rPr>
        <w:lastRenderedPageBreak/>
        <w:t>經濟部水利處水利規劃試驗所</w:t>
      </w:r>
      <w:r w:rsidR="00D8445B">
        <w:rPr>
          <w:rFonts w:eastAsia="標楷體" w:hint="eastAsia"/>
          <w:sz w:val="20"/>
          <w:szCs w:val="20"/>
        </w:rPr>
        <w:t>(2000)</w:t>
      </w:r>
      <w:r w:rsidRPr="007B6667">
        <w:rPr>
          <w:rFonts w:eastAsia="標楷體"/>
          <w:sz w:val="20"/>
          <w:szCs w:val="20"/>
        </w:rPr>
        <w:t>，「曾文水庫越域引水可行性規劃</w:t>
      </w:r>
      <w:r w:rsidRPr="007B6667">
        <w:rPr>
          <w:rFonts w:eastAsia="標楷體"/>
          <w:sz w:val="20"/>
          <w:szCs w:val="20"/>
        </w:rPr>
        <w:t>_</w:t>
      </w:r>
      <w:r w:rsidR="00D8445B">
        <w:rPr>
          <w:rFonts w:eastAsia="標楷體"/>
          <w:sz w:val="20"/>
          <w:szCs w:val="20"/>
        </w:rPr>
        <w:t>環境影響評估補充調查報告」，經濟部水利處水利規劃試驗</w:t>
      </w:r>
      <w:r w:rsidR="00D8445B">
        <w:rPr>
          <w:rFonts w:eastAsia="標楷體" w:hint="eastAsia"/>
          <w:sz w:val="20"/>
          <w:szCs w:val="20"/>
        </w:rPr>
        <w:t>所。</w:t>
      </w:r>
    </w:p>
    <w:sectPr w:rsidR="003C4BD0" w:rsidRPr="007B6667" w:rsidSect="007B6667">
      <w:type w:val="continuous"/>
      <w:pgSz w:w="11906" w:h="16838" w:code="9"/>
      <w:pgMar w:top="1134" w:right="1134" w:bottom="1247" w:left="1134" w:header="425" w:footer="992" w:gutter="0"/>
      <w:cols w:num="2"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94C" w:rsidRDefault="0017194C" w:rsidP="009632E3">
      <w:r>
        <w:separator/>
      </w:r>
    </w:p>
  </w:endnote>
  <w:endnote w:type="continuationSeparator" w:id="0">
    <w:p w:rsidR="0017194C" w:rsidRDefault="0017194C" w:rsidP="0096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94C" w:rsidRDefault="0017194C" w:rsidP="009632E3">
      <w:r>
        <w:separator/>
      </w:r>
    </w:p>
  </w:footnote>
  <w:footnote w:type="continuationSeparator" w:id="0">
    <w:p w:rsidR="0017194C" w:rsidRDefault="0017194C" w:rsidP="0096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36B" w:rsidRPr="0003436B" w:rsidRDefault="0003436B" w:rsidP="0003436B">
    <w:pPr>
      <w:tabs>
        <w:tab w:val="center" w:pos="4153"/>
        <w:tab w:val="right" w:pos="8306"/>
      </w:tabs>
      <w:snapToGrid w:val="0"/>
      <w:ind w:firstLineChars="200" w:firstLine="360"/>
      <w:contextualSpacing/>
      <w:jc w:val="right"/>
      <w:rPr>
        <w:rFonts w:eastAsia="標楷體"/>
        <w:sz w:val="18"/>
        <w:szCs w:val="20"/>
        <w:lang w:val="x-none" w:eastAsia="x-none"/>
      </w:rPr>
    </w:pPr>
    <w:r w:rsidRPr="0003436B">
      <w:rPr>
        <w:rFonts w:eastAsia="標楷體"/>
        <w:sz w:val="18"/>
        <w:szCs w:val="20"/>
        <w:lang w:val="x-none" w:eastAsia="x-none"/>
      </w:rPr>
      <w:t>第</w:t>
    </w:r>
    <w:r w:rsidRPr="0003436B">
      <w:rPr>
        <w:rFonts w:eastAsia="標楷體" w:hint="eastAsia"/>
        <w:sz w:val="18"/>
        <w:szCs w:val="20"/>
        <w:lang w:val="x-none" w:eastAsia="x-none"/>
      </w:rPr>
      <w:t>2</w:t>
    </w:r>
    <w:r w:rsidRPr="0003436B">
      <w:rPr>
        <w:rFonts w:eastAsia="標楷體" w:hint="eastAsia"/>
        <w:sz w:val="18"/>
        <w:szCs w:val="20"/>
        <w:lang w:val="x-none"/>
      </w:rPr>
      <w:t>2</w:t>
    </w:r>
    <w:r w:rsidRPr="0003436B">
      <w:rPr>
        <w:rFonts w:eastAsia="標楷體"/>
        <w:sz w:val="18"/>
        <w:szCs w:val="20"/>
        <w:lang w:val="x-none" w:eastAsia="x-none"/>
      </w:rPr>
      <w:t>屆水利工程研討會</w:t>
    </w:r>
  </w:p>
  <w:p w:rsidR="0003436B" w:rsidRPr="0003436B" w:rsidRDefault="0003436B" w:rsidP="0003436B">
    <w:pPr>
      <w:tabs>
        <w:tab w:val="center" w:pos="4153"/>
        <w:tab w:val="right" w:pos="8306"/>
      </w:tabs>
      <w:snapToGrid w:val="0"/>
      <w:ind w:firstLineChars="200" w:firstLine="360"/>
      <w:contextualSpacing/>
      <w:jc w:val="right"/>
      <w:rPr>
        <w:rFonts w:eastAsia="標楷體"/>
        <w:sz w:val="18"/>
        <w:szCs w:val="20"/>
        <w:lang w:val="x-none" w:eastAsia="x-none"/>
      </w:rPr>
    </w:pPr>
    <w:r w:rsidRPr="0003436B">
      <w:rPr>
        <w:rFonts w:eastAsia="標楷體"/>
        <w:sz w:val="18"/>
        <w:szCs w:val="20"/>
        <w:lang w:val="x-none" w:eastAsia="x-none"/>
      </w:rPr>
      <w:t xml:space="preserve">The </w:t>
    </w:r>
    <w:r w:rsidRPr="0003436B">
      <w:rPr>
        <w:rFonts w:eastAsia="標楷體" w:hint="eastAsia"/>
        <w:sz w:val="18"/>
        <w:szCs w:val="20"/>
        <w:lang w:val="x-none" w:eastAsia="x-none"/>
      </w:rPr>
      <w:t>2</w:t>
    </w:r>
    <w:r w:rsidRPr="0003436B">
      <w:rPr>
        <w:rFonts w:eastAsia="標楷體" w:hint="eastAsia"/>
        <w:sz w:val="18"/>
        <w:szCs w:val="20"/>
        <w:lang w:val="x-none"/>
      </w:rPr>
      <w:t>2</w:t>
    </w:r>
    <w:r w:rsidRPr="0003436B">
      <w:rPr>
        <w:rFonts w:eastAsia="標楷體" w:hint="eastAsia"/>
        <w:sz w:val="18"/>
        <w:szCs w:val="20"/>
        <w:vertAlign w:val="superscript"/>
        <w:lang w:val="x-none"/>
      </w:rPr>
      <w:t>nd</w:t>
    </w:r>
    <w:r w:rsidRPr="0003436B">
      <w:rPr>
        <w:rFonts w:eastAsia="標楷體" w:hint="eastAsia"/>
        <w:sz w:val="18"/>
        <w:szCs w:val="20"/>
        <w:lang w:val="x-none"/>
      </w:rPr>
      <w:t xml:space="preserve"> </w:t>
    </w:r>
    <w:r w:rsidRPr="0003436B">
      <w:rPr>
        <w:rFonts w:eastAsia="標楷體"/>
        <w:sz w:val="18"/>
        <w:szCs w:val="20"/>
        <w:lang w:val="x-none" w:eastAsia="x-none"/>
      </w:rPr>
      <w:t>Hydraulic Engineering Conference</w:t>
    </w:r>
  </w:p>
  <w:p w:rsidR="0003436B" w:rsidRPr="0003436B" w:rsidRDefault="0003436B" w:rsidP="0003436B">
    <w:pPr>
      <w:tabs>
        <w:tab w:val="center" w:pos="4153"/>
        <w:tab w:val="right" w:pos="8306"/>
      </w:tabs>
      <w:snapToGrid w:val="0"/>
      <w:ind w:firstLineChars="200" w:firstLine="360"/>
      <w:contextualSpacing/>
      <w:jc w:val="right"/>
      <w:rPr>
        <w:sz w:val="22"/>
      </w:rPr>
    </w:pPr>
    <w:r w:rsidRPr="0003436B">
      <w:rPr>
        <w:rFonts w:eastAsia="標楷體" w:hint="eastAsia"/>
        <w:sz w:val="18"/>
        <w:szCs w:val="20"/>
        <w:lang w:val="x-none"/>
      </w:rPr>
      <w:t>November</w:t>
    </w:r>
    <w:r w:rsidRPr="0003436B">
      <w:rPr>
        <w:rFonts w:eastAsia="標楷體" w:hint="eastAsia"/>
        <w:sz w:val="18"/>
        <w:szCs w:val="20"/>
        <w:lang w:val="x-none" w:eastAsia="x-none"/>
      </w:rPr>
      <w:t xml:space="preserve"> </w:t>
    </w:r>
    <w:r w:rsidRPr="0003436B">
      <w:rPr>
        <w:rFonts w:eastAsia="標楷體" w:hint="eastAsia"/>
        <w:sz w:val="18"/>
        <w:szCs w:val="20"/>
        <w:lang w:val="x-none"/>
      </w:rPr>
      <w:t>5</w:t>
    </w:r>
    <w:r w:rsidRPr="0003436B">
      <w:rPr>
        <w:rFonts w:eastAsia="標楷體" w:hint="eastAsia"/>
        <w:sz w:val="18"/>
        <w:szCs w:val="20"/>
        <w:lang w:val="x-none" w:eastAsia="x-none"/>
      </w:rPr>
      <w:t>-</w:t>
    </w:r>
    <w:r w:rsidRPr="0003436B">
      <w:rPr>
        <w:rFonts w:eastAsia="標楷體" w:hint="eastAsia"/>
        <w:sz w:val="18"/>
        <w:szCs w:val="20"/>
        <w:lang w:val="x-none"/>
      </w:rPr>
      <w:t>6</w:t>
    </w:r>
    <w:r w:rsidRPr="0003436B">
      <w:rPr>
        <w:rFonts w:eastAsia="標楷體" w:hint="eastAsia"/>
        <w:sz w:val="18"/>
        <w:szCs w:val="20"/>
        <w:lang w:val="x-none" w:eastAsia="x-none"/>
      </w:rPr>
      <w:t>, 201</w:t>
    </w:r>
    <w:r w:rsidRPr="0003436B">
      <w:rPr>
        <w:rFonts w:eastAsia="標楷體" w:hint="eastAsia"/>
        <w:sz w:val="18"/>
        <w:szCs w:val="20"/>
        <w:lang w:val="x-none"/>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D33"/>
    <w:multiLevelType w:val="hybridMultilevel"/>
    <w:tmpl w:val="B894BCC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2B306C"/>
    <w:multiLevelType w:val="hybridMultilevel"/>
    <w:tmpl w:val="F050BB50"/>
    <w:lvl w:ilvl="0" w:tplc="6E8EB5FC">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22E552E8"/>
    <w:multiLevelType w:val="hybridMultilevel"/>
    <w:tmpl w:val="17FECA4E"/>
    <w:lvl w:ilvl="0" w:tplc="BC686F4E">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4A32AAC"/>
    <w:multiLevelType w:val="hybridMultilevel"/>
    <w:tmpl w:val="6EFAEA82"/>
    <w:lvl w:ilvl="0" w:tplc="8BF22BE6">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943736"/>
    <w:multiLevelType w:val="hybridMultilevel"/>
    <w:tmpl w:val="05AC01DE"/>
    <w:lvl w:ilvl="0" w:tplc="F974597E">
      <w:start w:val="1"/>
      <w:numFmt w:val="decimal"/>
      <w:lvlText w:val="(%1)"/>
      <w:lvlJc w:val="left"/>
      <w:pPr>
        <w:ind w:left="840" w:hanging="36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AF52451"/>
    <w:multiLevelType w:val="hybridMultilevel"/>
    <w:tmpl w:val="FD1253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70D227E"/>
    <w:multiLevelType w:val="hybridMultilevel"/>
    <w:tmpl w:val="C3BCA5C8"/>
    <w:lvl w:ilvl="0" w:tplc="E81AF2FC">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1"/>
  </w:num>
  <w:num w:numId="4">
    <w:abstractNumId w:val="5"/>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F72"/>
    <w:rsid w:val="0001493B"/>
    <w:rsid w:val="00014DB8"/>
    <w:rsid w:val="000178E4"/>
    <w:rsid w:val="00017B9F"/>
    <w:rsid w:val="00030592"/>
    <w:rsid w:val="0003436B"/>
    <w:rsid w:val="00035FD8"/>
    <w:rsid w:val="000404DB"/>
    <w:rsid w:val="00046524"/>
    <w:rsid w:val="000511A2"/>
    <w:rsid w:val="00052D38"/>
    <w:rsid w:val="000659A6"/>
    <w:rsid w:val="000725E3"/>
    <w:rsid w:val="00072C5E"/>
    <w:rsid w:val="00077756"/>
    <w:rsid w:val="00081CA3"/>
    <w:rsid w:val="00081E7F"/>
    <w:rsid w:val="000841D4"/>
    <w:rsid w:val="00087110"/>
    <w:rsid w:val="0009280E"/>
    <w:rsid w:val="000933D1"/>
    <w:rsid w:val="00094176"/>
    <w:rsid w:val="00095630"/>
    <w:rsid w:val="00096F95"/>
    <w:rsid w:val="000A34E5"/>
    <w:rsid w:val="000A42E7"/>
    <w:rsid w:val="000A5251"/>
    <w:rsid w:val="000B0FAA"/>
    <w:rsid w:val="000B7BC2"/>
    <w:rsid w:val="000B7D27"/>
    <w:rsid w:val="000C5406"/>
    <w:rsid w:val="000C5696"/>
    <w:rsid w:val="000D3A4F"/>
    <w:rsid w:val="000D5D24"/>
    <w:rsid w:val="000E1AC4"/>
    <w:rsid w:val="000E2F82"/>
    <w:rsid w:val="000E43A1"/>
    <w:rsid w:val="000E7F2E"/>
    <w:rsid w:val="000F0C0B"/>
    <w:rsid w:val="000F2166"/>
    <w:rsid w:val="000F4E62"/>
    <w:rsid w:val="000F5D8C"/>
    <w:rsid w:val="000F6B5B"/>
    <w:rsid w:val="000F7C76"/>
    <w:rsid w:val="001022B9"/>
    <w:rsid w:val="00102A9D"/>
    <w:rsid w:val="00107F46"/>
    <w:rsid w:val="001111FC"/>
    <w:rsid w:val="001125DD"/>
    <w:rsid w:val="00113158"/>
    <w:rsid w:val="00116C91"/>
    <w:rsid w:val="00142074"/>
    <w:rsid w:val="001440B9"/>
    <w:rsid w:val="001569DB"/>
    <w:rsid w:val="0016032A"/>
    <w:rsid w:val="0017194C"/>
    <w:rsid w:val="00173ED3"/>
    <w:rsid w:val="0017424D"/>
    <w:rsid w:val="00174310"/>
    <w:rsid w:val="0017717B"/>
    <w:rsid w:val="0018168E"/>
    <w:rsid w:val="00182169"/>
    <w:rsid w:val="00185B1D"/>
    <w:rsid w:val="00187C0A"/>
    <w:rsid w:val="00190291"/>
    <w:rsid w:val="001925C8"/>
    <w:rsid w:val="0019273E"/>
    <w:rsid w:val="001B7265"/>
    <w:rsid w:val="001B7D5B"/>
    <w:rsid w:val="001C294A"/>
    <w:rsid w:val="001C5B55"/>
    <w:rsid w:val="001C60D9"/>
    <w:rsid w:val="001C77D4"/>
    <w:rsid w:val="001D064C"/>
    <w:rsid w:val="001D183E"/>
    <w:rsid w:val="001D2A26"/>
    <w:rsid w:val="001D5597"/>
    <w:rsid w:val="001E29A7"/>
    <w:rsid w:val="001E2C26"/>
    <w:rsid w:val="001E49FC"/>
    <w:rsid w:val="001F3FCF"/>
    <w:rsid w:val="001F45E0"/>
    <w:rsid w:val="0020109F"/>
    <w:rsid w:val="0020180A"/>
    <w:rsid w:val="00204272"/>
    <w:rsid w:val="002102BB"/>
    <w:rsid w:val="00213AA6"/>
    <w:rsid w:val="00222B5C"/>
    <w:rsid w:val="002256C6"/>
    <w:rsid w:val="002272BE"/>
    <w:rsid w:val="00235B48"/>
    <w:rsid w:val="00240D41"/>
    <w:rsid w:val="00244976"/>
    <w:rsid w:val="00246A0F"/>
    <w:rsid w:val="00246BB3"/>
    <w:rsid w:val="002567F1"/>
    <w:rsid w:val="00257B62"/>
    <w:rsid w:val="00262E96"/>
    <w:rsid w:val="0026329F"/>
    <w:rsid w:val="002712D5"/>
    <w:rsid w:val="00272D85"/>
    <w:rsid w:val="00276EA0"/>
    <w:rsid w:val="002824A1"/>
    <w:rsid w:val="0028513F"/>
    <w:rsid w:val="0028558D"/>
    <w:rsid w:val="002869FB"/>
    <w:rsid w:val="00291F71"/>
    <w:rsid w:val="002925FB"/>
    <w:rsid w:val="0029610A"/>
    <w:rsid w:val="002963B5"/>
    <w:rsid w:val="002A3850"/>
    <w:rsid w:val="002A4393"/>
    <w:rsid w:val="002B0983"/>
    <w:rsid w:val="002B29A0"/>
    <w:rsid w:val="002C2547"/>
    <w:rsid w:val="002C2A0A"/>
    <w:rsid w:val="002C2C06"/>
    <w:rsid w:val="002C630C"/>
    <w:rsid w:val="002C65F7"/>
    <w:rsid w:val="002D2B36"/>
    <w:rsid w:val="002D5836"/>
    <w:rsid w:val="002E3783"/>
    <w:rsid w:val="00301AD7"/>
    <w:rsid w:val="00302DC7"/>
    <w:rsid w:val="003146FA"/>
    <w:rsid w:val="003169B2"/>
    <w:rsid w:val="00320359"/>
    <w:rsid w:val="00322904"/>
    <w:rsid w:val="00322A1F"/>
    <w:rsid w:val="00326804"/>
    <w:rsid w:val="003326AD"/>
    <w:rsid w:val="00334173"/>
    <w:rsid w:val="003347CE"/>
    <w:rsid w:val="003367FE"/>
    <w:rsid w:val="00342E72"/>
    <w:rsid w:val="0034320A"/>
    <w:rsid w:val="00351B9D"/>
    <w:rsid w:val="003532F7"/>
    <w:rsid w:val="00360411"/>
    <w:rsid w:val="00360AD9"/>
    <w:rsid w:val="00362BAB"/>
    <w:rsid w:val="0036782E"/>
    <w:rsid w:val="0037181C"/>
    <w:rsid w:val="00375874"/>
    <w:rsid w:val="00377A50"/>
    <w:rsid w:val="00384379"/>
    <w:rsid w:val="00387BA5"/>
    <w:rsid w:val="003A0592"/>
    <w:rsid w:val="003A08AC"/>
    <w:rsid w:val="003A7F26"/>
    <w:rsid w:val="003B1E0A"/>
    <w:rsid w:val="003B25AC"/>
    <w:rsid w:val="003B37E4"/>
    <w:rsid w:val="003B5070"/>
    <w:rsid w:val="003B76FA"/>
    <w:rsid w:val="003C39DB"/>
    <w:rsid w:val="003C4BD0"/>
    <w:rsid w:val="003C6F20"/>
    <w:rsid w:val="003C732A"/>
    <w:rsid w:val="003D128C"/>
    <w:rsid w:val="003D1B8D"/>
    <w:rsid w:val="003D4660"/>
    <w:rsid w:val="003E6B66"/>
    <w:rsid w:val="003F31EB"/>
    <w:rsid w:val="003F715F"/>
    <w:rsid w:val="0040582F"/>
    <w:rsid w:val="00412D04"/>
    <w:rsid w:val="0041327D"/>
    <w:rsid w:val="0042099A"/>
    <w:rsid w:val="0042278E"/>
    <w:rsid w:val="00423456"/>
    <w:rsid w:val="00424AA6"/>
    <w:rsid w:val="00425B8E"/>
    <w:rsid w:val="00426995"/>
    <w:rsid w:val="004436F3"/>
    <w:rsid w:val="0045650F"/>
    <w:rsid w:val="00456511"/>
    <w:rsid w:val="00461EA6"/>
    <w:rsid w:val="00465DE1"/>
    <w:rsid w:val="00466E93"/>
    <w:rsid w:val="004716BB"/>
    <w:rsid w:val="004806ED"/>
    <w:rsid w:val="00482AD8"/>
    <w:rsid w:val="00482D08"/>
    <w:rsid w:val="00485902"/>
    <w:rsid w:val="004876E7"/>
    <w:rsid w:val="0049172F"/>
    <w:rsid w:val="00497023"/>
    <w:rsid w:val="004A0F33"/>
    <w:rsid w:val="004A4EFB"/>
    <w:rsid w:val="004A5D1D"/>
    <w:rsid w:val="004B31EE"/>
    <w:rsid w:val="004C0101"/>
    <w:rsid w:val="004C36A4"/>
    <w:rsid w:val="004C6D1A"/>
    <w:rsid w:val="004D12B1"/>
    <w:rsid w:val="004D2FEB"/>
    <w:rsid w:val="004D43B5"/>
    <w:rsid w:val="004E27BF"/>
    <w:rsid w:val="004E659E"/>
    <w:rsid w:val="004F2F3C"/>
    <w:rsid w:val="00500C0F"/>
    <w:rsid w:val="00510243"/>
    <w:rsid w:val="0051456E"/>
    <w:rsid w:val="00523E57"/>
    <w:rsid w:val="00524D2D"/>
    <w:rsid w:val="005275C7"/>
    <w:rsid w:val="005306B3"/>
    <w:rsid w:val="00546519"/>
    <w:rsid w:val="0055787D"/>
    <w:rsid w:val="00575C18"/>
    <w:rsid w:val="00586258"/>
    <w:rsid w:val="00586DC5"/>
    <w:rsid w:val="00587863"/>
    <w:rsid w:val="00591558"/>
    <w:rsid w:val="00593425"/>
    <w:rsid w:val="00593587"/>
    <w:rsid w:val="00597C25"/>
    <w:rsid w:val="00597E5E"/>
    <w:rsid w:val="005A06CC"/>
    <w:rsid w:val="005A5DBE"/>
    <w:rsid w:val="005B2AB6"/>
    <w:rsid w:val="005B3519"/>
    <w:rsid w:val="005B3859"/>
    <w:rsid w:val="005B389F"/>
    <w:rsid w:val="005B3E31"/>
    <w:rsid w:val="005D0F16"/>
    <w:rsid w:val="005D16FA"/>
    <w:rsid w:val="005D18D0"/>
    <w:rsid w:val="005D6121"/>
    <w:rsid w:val="005E0C46"/>
    <w:rsid w:val="005E487F"/>
    <w:rsid w:val="005F46E2"/>
    <w:rsid w:val="005F65DF"/>
    <w:rsid w:val="00601BD4"/>
    <w:rsid w:val="00602DAE"/>
    <w:rsid w:val="006065B1"/>
    <w:rsid w:val="00606F84"/>
    <w:rsid w:val="00613DB9"/>
    <w:rsid w:val="00614E2B"/>
    <w:rsid w:val="00622B4B"/>
    <w:rsid w:val="00623A3A"/>
    <w:rsid w:val="006262BD"/>
    <w:rsid w:val="0063013C"/>
    <w:rsid w:val="006328E1"/>
    <w:rsid w:val="006356E1"/>
    <w:rsid w:val="00642779"/>
    <w:rsid w:val="006431AB"/>
    <w:rsid w:val="0065345A"/>
    <w:rsid w:val="00667D5C"/>
    <w:rsid w:val="006704FF"/>
    <w:rsid w:val="006716F5"/>
    <w:rsid w:val="00676884"/>
    <w:rsid w:val="00680187"/>
    <w:rsid w:val="006807BB"/>
    <w:rsid w:val="00682FDF"/>
    <w:rsid w:val="00683EEA"/>
    <w:rsid w:val="006862A4"/>
    <w:rsid w:val="006915C7"/>
    <w:rsid w:val="00691DEF"/>
    <w:rsid w:val="006B0D78"/>
    <w:rsid w:val="006B7458"/>
    <w:rsid w:val="006C25ED"/>
    <w:rsid w:val="006C691C"/>
    <w:rsid w:val="006D0A19"/>
    <w:rsid w:val="006E06BF"/>
    <w:rsid w:val="006E7134"/>
    <w:rsid w:val="006F0A33"/>
    <w:rsid w:val="006F1B74"/>
    <w:rsid w:val="006F6914"/>
    <w:rsid w:val="0070044C"/>
    <w:rsid w:val="007005E5"/>
    <w:rsid w:val="00703899"/>
    <w:rsid w:val="00703CA5"/>
    <w:rsid w:val="0070457F"/>
    <w:rsid w:val="00707E68"/>
    <w:rsid w:val="007128E8"/>
    <w:rsid w:val="00715774"/>
    <w:rsid w:val="00717E23"/>
    <w:rsid w:val="00720CA8"/>
    <w:rsid w:val="0072643E"/>
    <w:rsid w:val="0073094E"/>
    <w:rsid w:val="007318B4"/>
    <w:rsid w:val="007318F5"/>
    <w:rsid w:val="00737306"/>
    <w:rsid w:val="00742FA7"/>
    <w:rsid w:val="00746AB6"/>
    <w:rsid w:val="00750965"/>
    <w:rsid w:val="0075226B"/>
    <w:rsid w:val="00754A45"/>
    <w:rsid w:val="0075512A"/>
    <w:rsid w:val="00756CE6"/>
    <w:rsid w:val="007578E3"/>
    <w:rsid w:val="007607C3"/>
    <w:rsid w:val="007621CD"/>
    <w:rsid w:val="00762EA9"/>
    <w:rsid w:val="007642C1"/>
    <w:rsid w:val="00767E30"/>
    <w:rsid w:val="0077078D"/>
    <w:rsid w:val="00773399"/>
    <w:rsid w:val="00775289"/>
    <w:rsid w:val="007857A2"/>
    <w:rsid w:val="00785F20"/>
    <w:rsid w:val="0078665A"/>
    <w:rsid w:val="007900BF"/>
    <w:rsid w:val="00794FF0"/>
    <w:rsid w:val="007A0ED2"/>
    <w:rsid w:val="007A36EA"/>
    <w:rsid w:val="007A4596"/>
    <w:rsid w:val="007B60E8"/>
    <w:rsid w:val="007B6667"/>
    <w:rsid w:val="007B720B"/>
    <w:rsid w:val="007B75F0"/>
    <w:rsid w:val="007B7FEE"/>
    <w:rsid w:val="007C72FC"/>
    <w:rsid w:val="007D7027"/>
    <w:rsid w:val="007E13A0"/>
    <w:rsid w:val="007E4B9C"/>
    <w:rsid w:val="007F7052"/>
    <w:rsid w:val="007F7CE1"/>
    <w:rsid w:val="00801BBC"/>
    <w:rsid w:val="00803528"/>
    <w:rsid w:val="0080576F"/>
    <w:rsid w:val="0080783F"/>
    <w:rsid w:val="00810108"/>
    <w:rsid w:val="00810EE5"/>
    <w:rsid w:val="008134D1"/>
    <w:rsid w:val="008134DA"/>
    <w:rsid w:val="00814878"/>
    <w:rsid w:val="00815835"/>
    <w:rsid w:val="00816746"/>
    <w:rsid w:val="00816953"/>
    <w:rsid w:val="00822A25"/>
    <w:rsid w:val="00825D4B"/>
    <w:rsid w:val="0084032B"/>
    <w:rsid w:val="008422DC"/>
    <w:rsid w:val="0085792D"/>
    <w:rsid w:val="00861BF5"/>
    <w:rsid w:val="00863EC3"/>
    <w:rsid w:val="00864EEE"/>
    <w:rsid w:val="0086657B"/>
    <w:rsid w:val="00874F7C"/>
    <w:rsid w:val="00880992"/>
    <w:rsid w:val="0088271D"/>
    <w:rsid w:val="008829A6"/>
    <w:rsid w:val="008928AC"/>
    <w:rsid w:val="00892BE7"/>
    <w:rsid w:val="008A0A76"/>
    <w:rsid w:val="008A1C48"/>
    <w:rsid w:val="008A3E80"/>
    <w:rsid w:val="008A4A16"/>
    <w:rsid w:val="008A5BD5"/>
    <w:rsid w:val="008A622D"/>
    <w:rsid w:val="008A6C00"/>
    <w:rsid w:val="008B2BA4"/>
    <w:rsid w:val="008B682A"/>
    <w:rsid w:val="008C4AA8"/>
    <w:rsid w:val="008D450B"/>
    <w:rsid w:val="008D6BC0"/>
    <w:rsid w:val="008D743C"/>
    <w:rsid w:val="008E112E"/>
    <w:rsid w:val="008E2000"/>
    <w:rsid w:val="008E7089"/>
    <w:rsid w:val="008F0F52"/>
    <w:rsid w:val="008F1697"/>
    <w:rsid w:val="008F7EAC"/>
    <w:rsid w:val="009022B9"/>
    <w:rsid w:val="0090305A"/>
    <w:rsid w:val="009042A3"/>
    <w:rsid w:val="009069CF"/>
    <w:rsid w:val="0090791F"/>
    <w:rsid w:val="0091021F"/>
    <w:rsid w:val="0091235D"/>
    <w:rsid w:val="00915147"/>
    <w:rsid w:val="00922131"/>
    <w:rsid w:val="009228E7"/>
    <w:rsid w:val="00922CBD"/>
    <w:rsid w:val="0092714A"/>
    <w:rsid w:val="00930C0D"/>
    <w:rsid w:val="00935B1E"/>
    <w:rsid w:val="0095205F"/>
    <w:rsid w:val="009577B2"/>
    <w:rsid w:val="00962EC9"/>
    <w:rsid w:val="009632E3"/>
    <w:rsid w:val="009649A4"/>
    <w:rsid w:val="0097474C"/>
    <w:rsid w:val="00975CBE"/>
    <w:rsid w:val="009806C5"/>
    <w:rsid w:val="009811C1"/>
    <w:rsid w:val="00983594"/>
    <w:rsid w:val="00987848"/>
    <w:rsid w:val="00987FCA"/>
    <w:rsid w:val="009946BE"/>
    <w:rsid w:val="009B2886"/>
    <w:rsid w:val="009B4B74"/>
    <w:rsid w:val="009B7F26"/>
    <w:rsid w:val="009C32A9"/>
    <w:rsid w:val="009C532F"/>
    <w:rsid w:val="009D627D"/>
    <w:rsid w:val="009E6F10"/>
    <w:rsid w:val="00A00FA1"/>
    <w:rsid w:val="00A04F5B"/>
    <w:rsid w:val="00A05EE7"/>
    <w:rsid w:val="00A075F9"/>
    <w:rsid w:val="00A11B15"/>
    <w:rsid w:val="00A159ED"/>
    <w:rsid w:val="00A17782"/>
    <w:rsid w:val="00A206B4"/>
    <w:rsid w:val="00A2767A"/>
    <w:rsid w:val="00A47480"/>
    <w:rsid w:val="00A51143"/>
    <w:rsid w:val="00A56EE5"/>
    <w:rsid w:val="00A57931"/>
    <w:rsid w:val="00A63A95"/>
    <w:rsid w:val="00A66389"/>
    <w:rsid w:val="00A7017C"/>
    <w:rsid w:val="00A711B8"/>
    <w:rsid w:val="00A7215D"/>
    <w:rsid w:val="00A75292"/>
    <w:rsid w:val="00A76743"/>
    <w:rsid w:val="00A77606"/>
    <w:rsid w:val="00A824AB"/>
    <w:rsid w:val="00A83762"/>
    <w:rsid w:val="00A84983"/>
    <w:rsid w:val="00A86993"/>
    <w:rsid w:val="00A911A5"/>
    <w:rsid w:val="00A91524"/>
    <w:rsid w:val="00A96E55"/>
    <w:rsid w:val="00AB1B1E"/>
    <w:rsid w:val="00AD1E05"/>
    <w:rsid w:val="00AD230D"/>
    <w:rsid w:val="00AD2444"/>
    <w:rsid w:val="00AD24F6"/>
    <w:rsid w:val="00AD699C"/>
    <w:rsid w:val="00AE00C9"/>
    <w:rsid w:val="00AE064A"/>
    <w:rsid w:val="00AE4AB0"/>
    <w:rsid w:val="00AE6478"/>
    <w:rsid w:val="00AF6AF9"/>
    <w:rsid w:val="00B057D8"/>
    <w:rsid w:val="00B118AA"/>
    <w:rsid w:val="00B14BD5"/>
    <w:rsid w:val="00B161CD"/>
    <w:rsid w:val="00B21F03"/>
    <w:rsid w:val="00B26433"/>
    <w:rsid w:val="00B3002B"/>
    <w:rsid w:val="00B336E6"/>
    <w:rsid w:val="00B36C42"/>
    <w:rsid w:val="00B4037C"/>
    <w:rsid w:val="00B42528"/>
    <w:rsid w:val="00B50671"/>
    <w:rsid w:val="00B517D0"/>
    <w:rsid w:val="00B53241"/>
    <w:rsid w:val="00B55389"/>
    <w:rsid w:val="00B567F2"/>
    <w:rsid w:val="00B743CC"/>
    <w:rsid w:val="00B74E11"/>
    <w:rsid w:val="00B76F84"/>
    <w:rsid w:val="00B77ED6"/>
    <w:rsid w:val="00B95728"/>
    <w:rsid w:val="00B97121"/>
    <w:rsid w:val="00BA0682"/>
    <w:rsid w:val="00BB3323"/>
    <w:rsid w:val="00BB6BD8"/>
    <w:rsid w:val="00BC6E11"/>
    <w:rsid w:val="00BD03C1"/>
    <w:rsid w:val="00BD502E"/>
    <w:rsid w:val="00BE283D"/>
    <w:rsid w:val="00BE46F7"/>
    <w:rsid w:val="00BE5BD3"/>
    <w:rsid w:val="00BE5C80"/>
    <w:rsid w:val="00BE6397"/>
    <w:rsid w:val="00BF2327"/>
    <w:rsid w:val="00BF398A"/>
    <w:rsid w:val="00C0384F"/>
    <w:rsid w:val="00C047C6"/>
    <w:rsid w:val="00C17393"/>
    <w:rsid w:val="00C17D29"/>
    <w:rsid w:val="00C2683F"/>
    <w:rsid w:val="00C31AF8"/>
    <w:rsid w:val="00C34684"/>
    <w:rsid w:val="00C35908"/>
    <w:rsid w:val="00C53FDA"/>
    <w:rsid w:val="00C55069"/>
    <w:rsid w:val="00C56618"/>
    <w:rsid w:val="00C61CEF"/>
    <w:rsid w:val="00C655C8"/>
    <w:rsid w:val="00C6560E"/>
    <w:rsid w:val="00C66817"/>
    <w:rsid w:val="00C66989"/>
    <w:rsid w:val="00C67632"/>
    <w:rsid w:val="00C708FE"/>
    <w:rsid w:val="00C8374A"/>
    <w:rsid w:val="00C904A6"/>
    <w:rsid w:val="00C91E81"/>
    <w:rsid w:val="00C94F42"/>
    <w:rsid w:val="00CA00FA"/>
    <w:rsid w:val="00CA463A"/>
    <w:rsid w:val="00CA4CD0"/>
    <w:rsid w:val="00CA7341"/>
    <w:rsid w:val="00CB13B5"/>
    <w:rsid w:val="00CC6B3A"/>
    <w:rsid w:val="00CC737C"/>
    <w:rsid w:val="00CD2B5E"/>
    <w:rsid w:val="00CD2CE0"/>
    <w:rsid w:val="00CD4313"/>
    <w:rsid w:val="00CD4D7B"/>
    <w:rsid w:val="00CE27F7"/>
    <w:rsid w:val="00CE2F85"/>
    <w:rsid w:val="00CE68E9"/>
    <w:rsid w:val="00CF1126"/>
    <w:rsid w:val="00CF3C77"/>
    <w:rsid w:val="00CF69BC"/>
    <w:rsid w:val="00CF70E4"/>
    <w:rsid w:val="00D031D3"/>
    <w:rsid w:val="00D0437F"/>
    <w:rsid w:val="00D12BB5"/>
    <w:rsid w:val="00D16807"/>
    <w:rsid w:val="00D24F72"/>
    <w:rsid w:val="00D27C6C"/>
    <w:rsid w:val="00D31A27"/>
    <w:rsid w:val="00D34B10"/>
    <w:rsid w:val="00D358EF"/>
    <w:rsid w:val="00D40171"/>
    <w:rsid w:val="00D453FB"/>
    <w:rsid w:val="00D50FE9"/>
    <w:rsid w:val="00D5232D"/>
    <w:rsid w:val="00D531B0"/>
    <w:rsid w:val="00D8445B"/>
    <w:rsid w:val="00D917CF"/>
    <w:rsid w:val="00D92BDD"/>
    <w:rsid w:val="00D95DDB"/>
    <w:rsid w:val="00DA3207"/>
    <w:rsid w:val="00DA3A91"/>
    <w:rsid w:val="00DA3D61"/>
    <w:rsid w:val="00DA4C5A"/>
    <w:rsid w:val="00DA58DF"/>
    <w:rsid w:val="00DB45C8"/>
    <w:rsid w:val="00DB6746"/>
    <w:rsid w:val="00DC0F26"/>
    <w:rsid w:val="00DC2E0B"/>
    <w:rsid w:val="00DC38B3"/>
    <w:rsid w:val="00DC3F75"/>
    <w:rsid w:val="00DC4777"/>
    <w:rsid w:val="00DC57E3"/>
    <w:rsid w:val="00DC59F7"/>
    <w:rsid w:val="00DC6429"/>
    <w:rsid w:val="00DC7B95"/>
    <w:rsid w:val="00DD0FD6"/>
    <w:rsid w:val="00DE4C78"/>
    <w:rsid w:val="00DE7968"/>
    <w:rsid w:val="00DF2809"/>
    <w:rsid w:val="00DF3F2A"/>
    <w:rsid w:val="00DF54EA"/>
    <w:rsid w:val="00DF614C"/>
    <w:rsid w:val="00DF6561"/>
    <w:rsid w:val="00E074C8"/>
    <w:rsid w:val="00E07C45"/>
    <w:rsid w:val="00E110E4"/>
    <w:rsid w:val="00E144A3"/>
    <w:rsid w:val="00E172AA"/>
    <w:rsid w:val="00E30192"/>
    <w:rsid w:val="00E36FEF"/>
    <w:rsid w:val="00E401C4"/>
    <w:rsid w:val="00E4287A"/>
    <w:rsid w:val="00E43F48"/>
    <w:rsid w:val="00E45DD6"/>
    <w:rsid w:val="00E520B3"/>
    <w:rsid w:val="00E56CFA"/>
    <w:rsid w:val="00E71A49"/>
    <w:rsid w:val="00E75234"/>
    <w:rsid w:val="00E80505"/>
    <w:rsid w:val="00E815A7"/>
    <w:rsid w:val="00E82A77"/>
    <w:rsid w:val="00E84470"/>
    <w:rsid w:val="00E8730F"/>
    <w:rsid w:val="00E876AF"/>
    <w:rsid w:val="00E87D91"/>
    <w:rsid w:val="00E87DE6"/>
    <w:rsid w:val="00E92F9D"/>
    <w:rsid w:val="00E94056"/>
    <w:rsid w:val="00E9692C"/>
    <w:rsid w:val="00E97E17"/>
    <w:rsid w:val="00EA6F19"/>
    <w:rsid w:val="00EA7424"/>
    <w:rsid w:val="00EB26F9"/>
    <w:rsid w:val="00EB655C"/>
    <w:rsid w:val="00EB7BE8"/>
    <w:rsid w:val="00EC1E9A"/>
    <w:rsid w:val="00EC2060"/>
    <w:rsid w:val="00EC20A8"/>
    <w:rsid w:val="00EC4747"/>
    <w:rsid w:val="00EC650E"/>
    <w:rsid w:val="00ED0577"/>
    <w:rsid w:val="00ED2179"/>
    <w:rsid w:val="00ED39CA"/>
    <w:rsid w:val="00ED6391"/>
    <w:rsid w:val="00EE03E8"/>
    <w:rsid w:val="00EE393D"/>
    <w:rsid w:val="00EF302E"/>
    <w:rsid w:val="00F00984"/>
    <w:rsid w:val="00F07543"/>
    <w:rsid w:val="00F11D1C"/>
    <w:rsid w:val="00F13455"/>
    <w:rsid w:val="00F21906"/>
    <w:rsid w:val="00F244C5"/>
    <w:rsid w:val="00F25F80"/>
    <w:rsid w:val="00F2601E"/>
    <w:rsid w:val="00F27010"/>
    <w:rsid w:val="00F27C84"/>
    <w:rsid w:val="00F30CFC"/>
    <w:rsid w:val="00F317F3"/>
    <w:rsid w:val="00F33155"/>
    <w:rsid w:val="00F36720"/>
    <w:rsid w:val="00F3737B"/>
    <w:rsid w:val="00F45701"/>
    <w:rsid w:val="00F50BEE"/>
    <w:rsid w:val="00F54471"/>
    <w:rsid w:val="00F63082"/>
    <w:rsid w:val="00F67AE1"/>
    <w:rsid w:val="00F75B82"/>
    <w:rsid w:val="00F77C0C"/>
    <w:rsid w:val="00F874D0"/>
    <w:rsid w:val="00F902F9"/>
    <w:rsid w:val="00F92642"/>
    <w:rsid w:val="00F93136"/>
    <w:rsid w:val="00FA1FA9"/>
    <w:rsid w:val="00FA3C90"/>
    <w:rsid w:val="00FB6CE7"/>
    <w:rsid w:val="00FB72C6"/>
    <w:rsid w:val="00FB7488"/>
    <w:rsid w:val="00FC0AAD"/>
    <w:rsid w:val="00FC0E9A"/>
    <w:rsid w:val="00FC22F5"/>
    <w:rsid w:val="00FC411C"/>
    <w:rsid w:val="00FC6624"/>
    <w:rsid w:val="00FC6C92"/>
    <w:rsid w:val="00FE4491"/>
    <w:rsid w:val="00FF2A38"/>
    <w:rsid w:val="00FF6C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B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32E3"/>
    <w:pPr>
      <w:tabs>
        <w:tab w:val="center" w:pos="4153"/>
        <w:tab w:val="right" w:pos="8306"/>
      </w:tabs>
      <w:snapToGrid w:val="0"/>
    </w:pPr>
    <w:rPr>
      <w:sz w:val="20"/>
      <w:szCs w:val="20"/>
    </w:rPr>
  </w:style>
  <w:style w:type="character" w:customStyle="1" w:styleId="a5">
    <w:name w:val="頁首 字元"/>
    <w:basedOn w:val="a0"/>
    <w:link w:val="a4"/>
    <w:rsid w:val="009632E3"/>
    <w:rPr>
      <w:kern w:val="2"/>
    </w:rPr>
  </w:style>
  <w:style w:type="paragraph" w:styleId="a6">
    <w:name w:val="footer"/>
    <w:basedOn w:val="a"/>
    <w:link w:val="a7"/>
    <w:rsid w:val="009632E3"/>
    <w:pPr>
      <w:tabs>
        <w:tab w:val="center" w:pos="4153"/>
        <w:tab w:val="right" w:pos="8306"/>
      </w:tabs>
      <w:snapToGrid w:val="0"/>
    </w:pPr>
    <w:rPr>
      <w:sz w:val="20"/>
      <w:szCs w:val="20"/>
    </w:rPr>
  </w:style>
  <w:style w:type="character" w:customStyle="1" w:styleId="a7">
    <w:name w:val="頁尾 字元"/>
    <w:basedOn w:val="a0"/>
    <w:link w:val="a6"/>
    <w:rsid w:val="009632E3"/>
    <w:rPr>
      <w:kern w:val="2"/>
    </w:rPr>
  </w:style>
  <w:style w:type="paragraph" w:styleId="a8">
    <w:name w:val="List Paragraph"/>
    <w:basedOn w:val="a"/>
    <w:uiPriority w:val="34"/>
    <w:qFormat/>
    <w:rsid w:val="00A824AB"/>
    <w:pPr>
      <w:ind w:leftChars="200" w:left="480"/>
    </w:pPr>
    <w:rPr>
      <w:rFonts w:ascii="Calibri" w:hAnsi="Calibri"/>
      <w:szCs w:val="22"/>
    </w:rPr>
  </w:style>
  <w:style w:type="paragraph" w:styleId="a9">
    <w:name w:val="caption"/>
    <w:basedOn w:val="a"/>
    <w:next w:val="a"/>
    <w:qFormat/>
    <w:rsid w:val="00B567F2"/>
    <w:rPr>
      <w:sz w:val="20"/>
      <w:szCs w:val="20"/>
    </w:rPr>
  </w:style>
  <w:style w:type="paragraph" w:styleId="aa">
    <w:name w:val="Balloon Text"/>
    <w:basedOn w:val="a"/>
    <w:link w:val="ab"/>
    <w:rsid w:val="00A51143"/>
    <w:rPr>
      <w:rFonts w:asciiTheme="majorHAnsi" w:eastAsiaTheme="majorEastAsia" w:hAnsiTheme="majorHAnsi" w:cstheme="majorBidi"/>
      <w:sz w:val="18"/>
      <w:szCs w:val="18"/>
    </w:rPr>
  </w:style>
  <w:style w:type="character" w:customStyle="1" w:styleId="ab">
    <w:name w:val="註解方塊文字 字元"/>
    <w:basedOn w:val="a0"/>
    <w:link w:val="aa"/>
    <w:rsid w:val="00A51143"/>
    <w:rPr>
      <w:rFonts w:asciiTheme="majorHAnsi" w:eastAsiaTheme="majorEastAsia" w:hAnsiTheme="majorHAnsi" w:cstheme="majorBidi"/>
      <w:kern w:val="2"/>
      <w:sz w:val="18"/>
      <w:szCs w:val="18"/>
    </w:rPr>
  </w:style>
  <w:style w:type="paragraph" w:styleId="ac">
    <w:name w:val="Title"/>
    <w:basedOn w:val="a"/>
    <w:next w:val="a"/>
    <w:link w:val="ad"/>
    <w:qFormat/>
    <w:rsid w:val="0020109F"/>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20109F"/>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4B9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632E3"/>
    <w:pPr>
      <w:tabs>
        <w:tab w:val="center" w:pos="4153"/>
        <w:tab w:val="right" w:pos="8306"/>
      </w:tabs>
      <w:snapToGrid w:val="0"/>
    </w:pPr>
    <w:rPr>
      <w:sz w:val="20"/>
      <w:szCs w:val="20"/>
    </w:rPr>
  </w:style>
  <w:style w:type="character" w:customStyle="1" w:styleId="a5">
    <w:name w:val="頁首 字元"/>
    <w:basedOn w:val="a0"/>
    <w:link w:val="a4"/>
    <w:rsid w:val="009632E3"/>
    <w:rPr>
      <w:kern w:val="2"/>
    </w:rPr>
  </w:style>
  <w:style w:type="paragraph" w:styleId="a6">
    <w:name w:val="footer"/>
    <w:basedOn w:val="a"/>
    <w:link w:val="a7"/>
    <w:rsid w:val="009632E3"/>
    <w:pPr>
      <w:tabs>
        <w:tab w:val="center" w:pos="4153"/>
        <w:tab w:val="right" w:pos="8306"/>
      </w:tabs>
      <w:snapToGrid w:val="0"/>
    </w:pPr>
    <w:rPr>
      <w:sz w:val="20"/>
      <w:szCs w:val="20"/>
    </w:rPr>
  </w:style>
  <w:style w:type="character" w:customStyle="1" w:styleId="a7">
    <w:name w:val="頁尾 字元"/>
    <w:basedOn w:val="a0"/>
    <w:link w:val="a6"/>
    <w:rsid w:val="009632E3"/>
    <w:rPr>
      <w:kern w:val="2"/>
    </w:rPr>
  </w:style>
  <w:style w:type="paragraph" w:styleId="a8">
    <w:name w:val="List Paragraph"/>
    <w:basedOn w:val="a"/>
    <w:uiPriority w:val="34"/>
    <w:qFormat/>
    <w:rsid w:val="00A824AB"/>
    <w:pPr>
      <w:ind w:leftChars="200" w:left="480"/>
    </w:pPr>
    <w:rPr>
      <w:rFonts w:ascii="Calibri" w:hAnsi="Calibri"/>
      <w:szCs w:val="22"/>
    </w:rPr>
  </w:style>
  <w:style w:type="paragraph" w:styleId="a9">
    <w:name w:val="caption"/>
    <w:basedOn w:val="a"/>
    <w:next w:val="a"/>
    <w:qFormat/>
    <w:rsid w:val="00B567F2"/>
    <w:rPr>
      <w:sz w:val="20"/>
      <w:szCs w:val="20"/>
    </w:rPr>
  </w:style>
  <w:style w:type="paragraph" w:styleId="aa">
    <w:name w:val="Balloon Text"/>
    <w:basedOn w:val="a"/>
    <w:link w:val="ab"/>
    <w:rsid w:val="00A51143"/>
    <w:rPr>
      <w:rFonts w:asciiTheme="majorHAnsi" w:eastAsiaTheme="majorEastAsia" w:hAnsiTheme="majorHAnsi" w:cstheme="majorBidi"/>
      <w:sz w:val="18"/>
      <w:szCs w:val="18"/>
    </w:rPr>
  </w:style>
  <w:style w:type="character" w:customStyle="1" w:styleId="ab">
    <w:name w:val="註解方塊文字 字元"/>
    <w:basedOn w:val="a0"/>
    <w:link w:val="aa"/>
    <w:rsid w:val="00A51143"/>
    <w:rPr>
      <w:rFonts w:asciiTheme="majorHAnsi" w:eastAsiaTheme="majorEastAsia" w:hAnsiTheme="majorHAnsi" w:cstheme="majorBidi"/>
      <w:kern w:val="2"/>
      <w:sz w:val="18"/>
      <w:szCs w:val="18"/>
    </w:rPr>
  </w:style>
  <w:style w:type="paragraph" w:styleId="ac">
    <w:name w:val="Title"/>
    <w:basedOn w:val="a"/>
    <w:next w:val="a"/>
    <w:link w:val="ad"/>
    <w:qFormat/>
    <w:rsid w:val="0020109F"/>
    <w:pPr>
      <w:spacing w:before="240" w:after="60"/>
      <w:jc w:val="center"/>
      <w:outlineLvl w:val="0"/>
    </w:pPr>
    <w:rPr>
      <w:rFonts w:asciiTheme="majorHAnsi" w:hAnsiTheme="majorHAnsi" w:cstheme="majorBidi"/>
      <w:b/>
      <w:bCs/>
      <w:sz w:val="32"/>
      <w:szCs w:val="32"/>
    </w:rPr>
  </w:style>
  <w:style w:type="character" w:customStyle="1" w:styleId="ad">
    <w:name w:val="標題 字元"/>
    <w:basedOn w:val="a0"/>
    <w:link w:val="ac"/>
    <w:rsid w:val="0020109F"/>
    <w:rPr>
      <w:rFonts w:asciiTheme="majorHAnsi"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30740;&#31350;&#23460;\&#30889;&#22763;&#35542;&#25991;\&#23578;&#26410;&#20633;&#20221;\&#31243;&#24335;\&#33622;&#28611;%20&amp;%20&#26366;&#25991;\DataZW.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TW"/>
  <c:roundedCorners val="1"/>
  <c:style val="2"/>
  <c:chart>
    <c:autoTitleDeleted val="1"/>
    <c:plotArea>
      <c:layout>
        <c:manualLayout>
          <c:layoutTarget val="inner"/>
          <c:xMode val="edge"/>
          <c:yMode val="edge"/>
          <c:x val="0.14076103912351393"/>
          <c:y val="2.2574898344960792E-2"/>
          <c:w val="0.82783761742746165"/>
          <c:h val="0.88406656421832275"/>
        </c:manualLayout>
      </c:layout>
      <c:barChart>
        <c:barDir val="col"/>
        <c:grouping val="clustered"/>
        <c:varyColors val="1"/>
        <c:ser>
          <c:idx val="12"/>
          <c:order val="12"/>
          <c:tx>
            <c:strRef>
              <c:f>水庫操作MT10規線!$C$1</c:f>
            </c:strRef>
          </c:tx>
          <c:spPr>
            <a:solidFill>
              <a:srgbClr val="CCFFCC"/>
            </a:solidFill>
            <a:ln w="12700">
              <a:solidFill>
                <a:srgbClr val="000000"/>
              </a:solidFill>
              <a:prstDash val="solid"/>
            </a:ln>
          </c:spPr>
          <c:invertIfNegative val="1"/>
          <c:cat>
            <c:multiLvlStrRef>
              <c:f>水庫操作MT10規線!$A$2:$A$37</c:f>
            </c:multiLvlStrRef>
          </c:cat>
          <c:val>
            <c:numRef>
              <c:f>水庫操作MT10規線!$C$2:$C$37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3"/>
          <c:order val="13"/>
          <c:tx>
            <c:strRef>
              <c:f>水庫操作MT10規線!$D$1</c:f>
            </c:strRef>
          </c:tx>
          <c:spPr>
            <a:solidFill>
              <a:srgbClr val="00FFFF"/>
            </a:solidFill>
            <a:ln w="12700">
              <a:solidFill>
                <a:srgbClr val="000000"/>
              </a:solidFill>
              <a:prstDash val="solid"/>
            </a:ln>
          </c:spPr>
          <c:invertIfNegative val="1"/>
          <c:cat>
            <c:multiLvlStrRef>
              <c:f>水庫操作MT10規線!$A$2:$A$37</c:f>
            </c:multiLvlStrRef>
          </c:cat>
          <c:val>
            <c:numRef>
              <c:f>水庫操作MT10規線!$D$2:$D$37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4"/>
          <c:order val="14"/>
          <c:tx>
            <c:strRef>
              <c:f>水庫操作MT10規線!$E$1</c:f>
            </c:strRef>
          </c:tx>
          <c:spPr>
            <a:solidFill>
              <a:srgbClr val="FFFFC0"/>
            </a:solidFill>
            <a:ln w="12700">
              <a:solidFill>
                <a:srgbClr val="000000"/>
              </a:solidFill>
              <a:prstDash val="solid"/>
            </a:ln>
          </c:spPr>
          <c:invertIfNegative val="1"/>
          <c:cat>
            <c:multiLvlStrRef>
              <c:f>水庫操作MT10規線!$A$2:$A$37</c:f>
            </c:multiLvlStrRef>
          </c:cat>
          <c:val>
            <c:numRef>
              <c:f>水庫操作MT10規線!$E$2:$E$37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5"/>
          <c:order val="15"/>
          <c:tx>
            <c:strRef>
              <c:f>水庫操作MT10規線!$C$1</c:f>
            </c:strRef>
          </c:tx>
          <c:spPr>
            <a:solidFill>
              <a:srgbClr val="CCFFCC"/>
            </a:solidFill>
            <a:ln w="12700">
              <a:solidFill>
                <a:srgbClr val="000000"/>
              </a:solidFill>
              <a:prstDash val="solid"/>
            </a:ln>
          </c:spPr>
          <c:invertIfNegative val="1"/>
          <c:cat>
            <c:multiLvlStrRef>
              <c:f>水庫操作MT10規線!$A$2:$A$37</c:f>
            </c:multiLvlStrRef>
          </c:cat>
          <c:val>
            <c:numRef>
              <c:f>水庫操作MT10規線!$C$2:$C$37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6"/>
          <c:order val="16"/>
          <c:tx>
            <c:strRef>
              <c:f>水庫操作MT10規線!$D$1</c:f>
            </c:strRef>
          </c:tx>
          <c:spPr>
            <a:solidFill>
              <a:srgbClr val="00FFFF"/>
            </a:solidFill>
            <a:ln w="12700">
              <a:solidFill>
                <a:srgbClr val="000000"/>
              </a:solidFill>
              <a:prstDash val="solid"/>
            </a:ln>
          </c:spPr>
          <c:invertIfNegative val="1"/>
          <c:cat>
            <c:multiLvlStrRef>
              <c:f>水庫操作MT10規線!$A$2:$A$37</c:f>
            </c:multiLvlStrRef>
          </c:cat>
          <c:val>
            <c:numRef>
              <c:f>水庫操作MT10規線!$D$2:$D$37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7"/>
          <c:order val="17"/>
          <c:tx>
            <c:strRef>
              <c:f>水庫操作MT10規線!$E$1</c:f>
            </c:strRef>
          </c:tx>
          <c:spPr>
            <a:solidFill>
              <a:srgbClr val="FFFFC0"/>
            </a:solidFill>
            <a:ln w="12700">
              <a:solidFill>
                <a:srgbClr val="000000"/>
              </a:solidFill>
              <a:prstDash val="solid"/>
            </a:ln>
          </c:spPr>
          <c:invertIfNegative val="1"/>
          <c:cat>
            <c:multiLvlStrRef>
              <c:f>水庫操作MT10規線!$A$2:$A$37</c:f>
            </c:multiLvlStrRef>
          </c:cat>
          <c:val>
            <c:numRef>
              <c:f>水庫操作MT10規線!$E$2:$E$37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8"/>
          <c:order val="18"/>
          <c:tx>
            <c:strRef>
              <c:f>水庫操作MT10規線!$C$1</c:f>
            </c:strRef>
          </c:tx>
          <c:spPr>
            <a:noFill/>
            <a:ln w="12700">
              <a:solidFill>
                <a:srgbClr val="000000"/>
              </a:solidFill>
              <a:prstDash val="solid"/>
            </a:ln>
          </c:spPr>
          <c:invertIfNegative val="1"/>
          <c:cat>
            <c:multiLvlStrRef>
              <c:f>水庫操作MT10規線!$A$2:$A$37</c:f>
            </c:multiLvlStrRef>
          </c:cat>
          <c:val>
            <c:numRef>
              <c:f>水庫操作MT10規線!$C$2:$C$37</c:f>
            </c:numRef>
          </c:val>
        </c:ser>
        <c:ser>
          <c:idx val="19"/>
          <c:order val="19"/>
          <c:tx>
            <c:strRef>
              <c:f>水庫操作MT10規線!$D$1</c:f>
            </c:strRef>
          </c:tx>
          <c:spPr>
            <a:solidFill>
              <a:srgbClr val="00FFFF"/>
            </a:solidFill>
            <a:ln w="12700">
              <a:solidFill>
                <a:srgbClr val="000000"/>
              </a:solidFill>
              <a:prstDash val="solid"/>
            </a:ln>
          </c:spPr>
          <c:invertIfNegative val="1"/>
          <c:cat>
            <c:multiLvlStrRef>
              <c:f>水庫操作MT10規線!$A$2:$A$37</c:f>
            </c:multiLvlStrRef>
          </c:cat>
          <c:val>
            <c:numRef>
              <c:f>水庫操作MT10規線!$D$2:$D$37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20"/>
          <c:order val="20"/>
          <c:tx>
            <c:strRef>
              <c:f>水庫操作MT10規線!$E$1</c:f>
            </c:strRef>
          </c:tx>
          <c:spPr>
            <a:solidFill>
              <a:srgbClr val="FFFFC0"/>
            </a:solidFill>
            <a:ln w="12700">
              <a:solidFill>
                <a:srgbClr val="000000"/>
              </a:solidFill>
              <a:prstDash val="solid"/>
            </a:ln>
          </c:spPr>
          <c:invertIfNegative val="1"/>
          <c:cat>
            <c:multiLvlStrRef>
              <c:f>水庫操作MT10規線!$A$2:$A$37</c:f>
            </c:multiLvlStrRef>
          </c:cat>
          <c:val>
            <c:numRef>
              <c:f>水庫操作MT10規線!$E$2:$E$37</c:f>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21"/>
          <c:order val="21"/>
          <c:tx>
            <c:strRef>
              <c:f>水庫操作MT10規線!$C$1</c:f>
            </c:strRef>
          </c:tx>
          <c:spPr>
            <a:noFill/>
            <a:ln w="12700">
              <a:solidFill>
                <a:srgbClr val="000000"/>
              </a:solidFill>
              <a:prstDash val="solid"/>
            </a:ln>
          </c:spPr>
          <c:invertIfNegative val="1"/>
          <c:cat>
            <c:multiLvlStrRef>
              <c:f>水庫操作MT10規線!$A$2:$A$37</c:f>
            </c:multiLvlStrRef>
          </c:cat>
          <c:val>
            <c:numRef>
              <c:f>水庫操作MT10規線!$C$2:$C$37</c:f>
            </c:numRef>
          </c:val>
        </c:ser>
        <c:ser>
          <c:idx val="22"/>
          <c:order val="22"/>
          <c:tx>
            <c:strRef>
              <c:f>水庫操作MT10規線!$D$1</c:f>
            </c:strRef>
          </c:tx>
          <c:spPr>
            <a:noFill/>
            <a:ln w="12700">
              <a:solidFill>
                <a:srgbClr val="000000"/>
              </a:solidFill>
              <a:prstDash val="solid"/>
            </a:ln>
          </c:spPr>
          <c:invertIfNegative val="1"/>
          <c:cat>
            <c:multiLvlStrRef>
              <c:f>水庫操作MT10規線!$A$2:$A$37</c:f>
            </c:multiLvlStrRef>
          </c:cat>
          <c:val>
            <c:numRef>
              <c:f>水庫操作MT10規線!$D$2:$D$37</c:f>
            </c:numRef>
          </c:val>
        </c:ser>
        <c:ser>
          <c:idx val="23"/>
          <c:order val="23"/>
          <c:tx>
            <c:strRef>
              <c:f>水庫操作MT10規線!$E$1</c:f>
            </c:strRef>
          </c:tx>
          <c:spPr>
            <a:noFill/>
            <a:ln w="12700">
              <a:solidFill>
                <a:srgbClr val="000000"/>
              </a:solidFill>
              <a:prstDash val="solid"/>
            </a:ln>
          </c:spPr>
          <c:invertIfNegative val="1"/>
          <c:cat>
            <c:multiLvlStrRef>
              <c:f>水庫操作MT10規線!$A$2:$A$37</c:f>
            </c:multiLvlStrRef>
          </c:cat>
          <c:val>
            <c:numRef>
              <c:f>水庫操作MT10規線!$E$2:$E$37</c:f>
            </c:numRef>
          </c:val>
        </c:ser>
        <c:ser>
          <c:idx val="6"/>
          <c:order val="6"/>
          <c:tx>
            <c:strRef>
              <c:f>水庫操作MT10規線!$C$1</c:f>
              <c:strCache>
                <c:ptCount val="1"/>
                <c:pt idx="0">
                  <c:v>上限</c:v>
                </c:pt>
              </c:strCache>
            </c:strRef>
          </c:tx>
          <c:spPr>
            <a:solidFill>
              <a:srgbClr val="CCFFCC"/>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水庫操作MT10規線!$C$2:$C$37</c:f>
              <c:numCache>
                <c:formatCode>General</c:formatCode>
                <c:ptCount val="36"/>
                <c:pt idx="0">
                  <c:v>500</c:v>
                </c:pt>
                <c:pt idx="1">
                  <c:v>480</c:v>
                </c:pt>
                <c:pt idx="2">
                  <c:v>460</c:v>
                </c:pt>
                <c:pt idx="3">
                  <c:v>440</c:v>
                </c:pt>
                <c:pt idx="4">
                  <c:v>420</c:v>
                </c:pt>
                <c:pt idx="5">
                  <c:v>400</c:v>
                </c:pt>
                <c:pt idx="6">
                  <c:v>380</c:v>
                </c:pt>
                <c:pt idx="7">
                  <c:v>360</c:v>
                </c:pt>
                <c:pt idx="8">
                  <c:v>340</c:v>
                </c:pt>
                <c:pt idx="9">
                  <c:v>320</c:v>
                </c:pt>
                <c:pt idx="10">
                  <c:v>300</c:v>
                </c:pt>
                <c:pt idx="11">
                  <c:v>280</c:v>
                </c:pt>
                <c:pt idx="12">
                  <c:v>260</c:v>
                </c:pt>
                <c:pt idx="13">
                  <c:v>240</c:v>
                </c:pt>
                <c:pt idx="14">
                  <c:v>220</c:v>
                </c:pt>
                <c:pt idx="15">
                  <c:v>220</c:v>
                </c:pt>
                <c:pt idx="16">
                  <c:v>220</c:v>
                </c:pt>
                <c:pt idx="17">
                  <c:v>230</c:v>
                </c:pt>
                <c:pt idx="18">
                  <c:v>250</c:v>
                </c:pt>
                <c:pt idx="19">
                  <c:v>300</c:v>
                </c:pt>
                <c:pt idx="20">
                  <c:v>360</c:v>
                </c:pt>
                <c:pt idx="21">
                  <c:v>420</c:v>
                </c:pt>
                <c:pt idx="22">
                  <c:v>460</c:v>
                </c:pt>
                <c:pt idx="23">
                  <c:v>581</c:v>
                </c:pt>
                <c:pt idx="24">
                  <c:v>583</c:v>
                </c:pt>
                <c:pt idx="25">
                  <c:v>583</c:v>
                </c:pt>
                <c:pt idx="26">
                  <c:v>583</c:v>
                </c:pt>
                <c:pt idx="27">
                  <c:v>583</c:v>
                </c:pt>
                <c:pt idx="28">
                  <c:v>583</c:v>
                </c:pt>
                <c:pt idx="29">
                  <c:v>583</c:v>
                </c:pt>
                <c:pt idx="30">
                  <c:v>583</c:v>
                </c:pt>
                <c:pt idx="31">
                  <c:v>580</c:v>
                </c:pt>
                <c:pt idx="32">
                  <c:v>570</c:v>
                </c:pt>
                <c:pt idx="33">
                  <c:v>560</c:v>
                </c:pt>
                <c:pt idx="34">
                  <c:v>540</c:v>
                </c:pt>
                <c:pt idx="35">
                  <c:v>520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7"/>
          <c:order val="7"/>
          <c:tx>
            <c:strRef>
              <c:f>水庫操作MT10規線!$D$1</c:f>
              <c:strCache>
                <c:ptCount val="1"/>
                <c:pt idx="0">
                  <c:v>下限</c:v>
                </c:pt>
              </c:strCache>
            </c:strRef>
          </c:tx>
          <c:spPr>
            <a:solidFill>
              <a:srgbClr val="00FFFF"/>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水庫操作MT10規線!$D$2:$D$37</c:f>
              <c:numCache>
                <c:formatCode>General</c:formatCode>
                <c:ptCount val="36"/>
                <c:pt idx="0">
                  <c:v>360</c:v>
                </c:pt>
                <c:pt idx="1">
                  <c:v>350</c:v>
                </c:pt>
                <c:pt idx="2">
                  <c:v>330</c:v>
                </c:pt>
                <c:pt idx="3">
                  <c:v>310</c:v>
                </c:pt>
                <c:pt idx="4">
                  <c:v>280</c:v>
                </c:pt>
                <c:pt idx="5">
                  <c:v>250</c:v>
                </c:pt>
                <c:pt idx="6">
                  <c:v>220</c:v>
                </c:pt>
                <c:pt idx="7">
                  <c:v>190</c:v>
                </c:pt>
                <c:pt idx="8">
                  <c:v>175</c:v>
                </c:pt>
                <c:pt idx="9">
                  <c:v>145</c:v>
                </c:pt>
                <c:pt idx="10">
                  <c:v>115</c:v>
                </c:pt>
                <c:pt idx="11">
                  <c:v>100</c:v>
                </c:pt>
                <c:pt idx="12">
                  <c:v>80</c:v>
                </c:pt>
                <c:pt idx="13">
                  <c:v>65</c:v>
                </c:pt>
                <c:pt idx="14">
                  <c:v>50</c:v>
                </c:pt>
                <c:pt idx="15">
                  <c:v>40</c:v>
                </c:pt>
                <c:pt idx="16">
                  <c:v>50</c:v>
                </c:pt>
                <c:pt idx="17">
                  <c:v>70</c:v>
                </c:pt>
                <c:pt idx="18">
                  <c:v>90</c:v>
                </c:pt>
                <c:pt idx="19">
                  <c:v>120</c:v>
                </c:pt>
                <c:pt idx="20">
                  <c:v>150</c:v>
                </c:pt>
                <c:pt idx="21">
                  <c:v>180</c:v>
                </c:pt>
                <c:pt idx="22">
                  <c:v>210</c:v>
                </c:pt>
                <c:pt idx="23">
                  <c:v>240</c:v>
                </c:pt>
                <c:pt idx="24">
                  <c:v>270</c:v>
                </c:pt>
                <c:pt idx="25">
                  <c:v>300</c:v>
                </c:pt>
                <c:pt idx="26">
                  <c:v>330</c:v>
                </c:pt>
                <c:pt idx="27">
                  <c:v>360</c:v>
                </c:pt>
                <c:pt idx="28">
                  <c:v>360</c:v>
                </c:pt>
                <c:pt idx="29">
                  <c:v>360</c:v>
                </c:pt>
                <c:pt idx="30">
                  <c:v>360</c:v>
                </c:pt>
                <c:pt idx="31">
                  <c:v>360</c:v>
                </c:pt>
                <c:pt idx="32">
                  <c:v>360</c:v>
                </c:pt>
                <c:pt idx="33">
                  <c:v>360</c:v>
                </c:pt>
                <c:pt idx="34">
                  <c:v>360</c:v>
                </c:pt>
                <c:pt idx="35">
                  <c:v>360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8"/>
          <c:order val="8"/>
          <c:tx>
            <c:strRef>
              <c:f>水庫操作MT10規線!$E$1</c:f>
              <c:strCache>
                <c:ptCount val="1"/>
                <c:pt idx="0">
                  <c:v>嚴重下限</c:v>
                </c:pt>
              </c:strCache>
            </c:strRef>
          </c:tx>
          <c:spPr>
            <a:solidFill>
              <a:srgbClr val="FFFFC0"/>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水庫操作MT10規線!$E$2:$E$37</c:f>
              <c:numCache>
                <c:formatCode>General</c:formatCode>
                <c:ptCount val="36"/>
                <c:pt idx="0">
                  <c:v>240</c:v>
                </c:pt>
                <c:pt idx="1">
                  <c:v>230</c:v>
                </c:pt>
                <c:pt idx="2">
                  <c:v>220</c:v>
                </c:pt>
                <c:pt idx="3">
                  <c:v>210</c:v>
                </c:pt>
                <c:pt idx="4">
                  <c:v>200</c:v>
                </c:pt>
                <c:pt idx="5">
                  <c:v>190</c:v>
                </c:pt>
                <c:pt idx="6">
                  <c:v>170</c:v>
                </c:pt>
                <c:pt idx="7">
                  <c:v>160</c:v>
                </c:pt>
                <c:pt idx="8">
                  <c:v>150</c:v>
                </c:pt>
                <c:pt idx="9">
                  <c:v>120</c:v>
                </c:pt>
                <c:pt idx="10">
                  <c:v>90</c:v>
                </c:pt>
                <c:pt idx="11">
                  <c:v>80</c:v>
                </c:pt>
                <c:pt idx="12">
                  <c:v>55</c:v>
                </c:pt>
                <c:pt idx="13">
                  <c:v>40</c:v>
                </c:pt>
                <c:pt idx="14">
                  <c:v>30</c:v>
                </c:pt>
                <c:pt idx="15">
                  <c:v>30</c:v>
                </c:pt>
                <c:pt idx="16">
                  <c:v>30</c:v>
                </c:pt>
                <c:pt idx="17">
                  <c:v>40</c:v>
                </c:pt>
                <c:pt idx="18">
                  <c:v>60</c:v>
                </c:pt>
                <c:pt idx="19">
                  <c:v>80</c:v>
                </c:pt>
                <c:pt idx="20">
                  <c:v>105</c:v>
                </c:pt>
                <c:pt idx="21">
                  <c:v>130</c:v>
                </c:pt>
                <c:pt idx="22">
                  <c:v>155</c:v>
                </c:pt>
                <c:pt idx="23">
                  <c:v>180</c:v>
                </c:pt>
                <c:pt idx="24">
                  <c:v>200</c:v>
                </c:pt>
                <c:pt idx="25">
                  <c:v>240</c:v>
                </c:pt>
                <c:pt idx="26">
                  <c:v>280</c:v>
                </c:pt>
                <c:pt idx="27">
                  <c:v>280</c:v>
                </c:pt>
                <c:pt idx="28">
                  <c:v>280</c:v>
                </c:pt>
                <c:pt idx="29">
                  <c:v>280</c:v>
                </c:pt>
                <c:pt idx="30">
                  <c:v>280</c:v>
                </c:pt>
                <c:pt idx="31">
                  <c:v>280</c:v>
                </c:pt>
                <c:pt idx="32">
                  <c:v>280</c:v>
                </c:pt>
                <c:pt idx="33">
                  <c:v>280</c:v>
                </c:pt>
                <c:pt idx="34">
                  <c:v>260</c:v>
                </c:pt>
                <c:pt idx="35">
                  <c:v>250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9"/>
          <c:order val="9"/>
          <c:tx>
            <c:strRef>
              <c:f>水庫操作MT10規線!$C$1</c:f>
              <c:strCache>
                <c:ptCount val="1"/>
                <c:pt idx="0">
                  <c:v>上限</c:v>
                </c:pt>
              </c:strCache>
            </c:strRef>
          </c:tx>
          <c:spPr>
            <a:solidFill>
              <a:srgbClr val="CCFFCC"/>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水庫操作MT10規線!$C$2:$C$37</c:f>
              <c:numCache>
                <c:formatCode>General</c:formatCode>
                <c:ptCount val="36"/>
                <c:pt idx="0">
                  <c:v>500</c:v>
                </c:pt>
                <c:pt idx="1">
                  <c:v>480</c:v>
                </c:pt>
                <c:pt idx="2">
                  <c:v>460</c:v>
                </c:pt>
                <c:pt idx="3">
                  <c:v>440</c:v>
                </c:pt>
                <c:pt idx="4">
                  <c:v>420</c:v>
                </c:pt>
                <c:pt idx="5">
                  <c:v>400</c:v>
                </c:pt>
                <c:pt idx="6">
                  <c:v>380</c:v>
                </c:pt>
                <c:pt idx="7">
                  <c:v>360</c:v>
                </c:pt>
                <c:pt idx="8">
                  <c:v>340</c:v>
                </c:pt>
                <c:pt idx="9">
                  <c:v>320</c:v>
                </c:pt>
                <c:pt idx="10">
                  <c:v>300</c:v>
                </c:pt>
                <c:pt idx="11">
                  <c:v>280</c:v>
                </c:pt>
                <c:pt idx="12">
                  <c:v>260</c:v>
                </c:pt>
                <c:pt idx="13">
                  <c:v>240</c:v>
                </c:pt>
                <c:pt idx="14">
                  <c:v>220</c:v>
                </c:pt>
                <c:pt idx="15">
                  <c:v>220</c:v>
                </c:pt>
                <c:pt idx="16">
                  <c:v>220</c:v>
                </c:pt>
                <c:pt idx="17">
                  <c:v>230</c:v>
                </c:pt>
                <c:pt idx="18">
                  <c:v>250</c:v>
                </c:pt>
                <c:pt idx="19">
                  <c:v>300</c:v>
                </c:pt>
                <c:pt idx="20">
                  <c:v>360</c:v>
                </c:pt>
                <c:pt idx="21">
                  <c:v>420</c:v>
                </c:pt>
                <c:pt idx="22">
                  <c:v>460</c:v>
                </c:pt>
                <c:pt idx="23">
                  <c:v>581</c:v>
                </c:pt>
                <c:pt idx="24">
                  <c:v>583</c:v>
                </c:pt>
                <c:pt idx="25">
                  <c:v>583</c:v>
                </c:pt>
                <c:pt idx="26">
                  <c:v>583</c:v>
                </c:pt>
                <c:pt idx="27">
                  <c:v>583</c:v>
                </c:pt>
                <c:pt idx="28">
                  <c:v>583</c:v>
                </c:pt>
                <c:pt idx="29">
                  <c:v>583</c:v>
                </c:pt>
                <c:pt idx="30">
                  <c:v>583</c:v>
                </c:pt>
                <c:pt idx="31">
                  <c:v>580</c:v>
                </c:pt>
                <c:pt idx="32">
                  <c:v>570</c:v>
                </c:pt>
                <c:pt idx="33">
                  <c:v>560</c:v>
                </c:pt>
                <c:pt idx="34">
                  <c:v>540</c:v>
                </c:pt>
                <c:pt idx="35">
                  <c:v>520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0"/>
          <c:order val="10"/>
          <c:tx>
            <c:strRef>
              <c:f>水庫操作MT10規線!$D$1</c:f>
              <c:strCache>
                <c:ptCount val="1"/>
                <c:pt idx="0">
                  <c:v>下限</c:v>
                </c:pt>
              </c:strCache>
            </c:strRef>
          </c:tx>
          <c:spPr>
            <a:solidFill>
              <a:srgbClr val="00FFFF"/>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水庫操作MT10規線!$D$2:$D$37</c:f>
              <c:numCache>
                <c:formatCode>General</c:formatCode>
                <c:ptCount val="36"/>
                <c:pt idx="0">
                  <c:v>360</c:v>
                </c:pt>
                <c:pt idx="1">
                  <c:v>350</c:v>
                </c:pt>
                <c:pt idx="2">
                  <c:v>330</c:v>
                </c:pt>
                <c:pt idx="3">
                  <c:v>310</c:v>
                </c:pt>
                <c:pt idx="4">
                  <c:v>280</c:v>
                </c:pt>
                <c:pt idx="5">
                  <c:v>250</c:v>
                </c:pt>
                <c:pt idx="6">
                  <c:v>220</c:v>
                </c:pt>
                <c:pt idx="7">
                  <c:v>190</c:v>
                </c:pt>
                <c:pt idx="8">
                  <c:v>175</c:v>
                </c:pt>
                <c:pt idx="9">
                  <c:v>145</c:v>
                </c:pt>
                <c:pt idx="10">
                  <c:v>115</c:v>
                </c:pt>
                <c:pt idx="11">
                  <c:v>100</c:v>
                </c:pt>
                <c:pt idx="12">
                  <c:v>80</c:v>
                </c:pt>
                <c:pt idx="13">
                  <c:v>65</c:v>
                </c:pt>
                <c:pt idx="14">
                  <c:v>50</c:v>
                </c:pt>
                <c:pt idx="15">
                  <c:v>40</c:v>
                </c:pt>
                <c:pt idx="16">
                  <c:v>50</c:v>
                </c:pt>
                <c:pt idx="17">
                  <c:v>70</c:v>
                </c:pt>
                <c:pt idx="18">
                  <c:v>90</c:v>
                </c:pt>
                <c:pt idx="19">
                  <c:v>120</c:v>
                </c:pt>
                <c:pt idx="20">
                  <c:v>150</c:v>
                </c:pt>
                <c:pt idx="21">
                  <c:v>180</c:v>
                </c:pt>
                <c:pt idx="22">
                  <c:v>210</c:v>
                </c:pt>
                <c:pt idx="23">
                  <c:v>240</c:v>
                </c:pt>
                <c:pt idx="24">
                  <c:v>270</c:v>
                </c:pt>
                <c:pt idx="25">
                  <c:v>300</c:v>
                </c:pt>
                <c:pt idx="26">
                  <c:v>330</c:v>
                </c:pt>
                <c:pt idx="27">
                  <c:v>360</c:v>
                </c:pt>
                <c:pt idx="28">
                  <c:v>360</c:v>
                </c:pt>
                <c:pt idx="29">
                  <c:v>360</c:v>
                </c:pt>
                <c:pt idx="30">
                  <c:v>360</c:v>
                </c:pt>
                <c:pt idx="31">
                  <c:v>360</c:v>
                </c:pt>
                <c:pt idx="32">
                  <c:v>360</c:v>
                </c:pt>
                <c:pt idx="33">
                  <c:v>360</c:v>
                </c:pt>
                <c:pt idx="34">
                  <c:v>360</c:v>
                </c:pt>
                <c:pt idx="35">
                  <c:v>360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11"/>
          <c:order val="11"/>
          <c:tx>
            <c:strRef>
              <c:f>水庫操作MT10規線!$E$1</c:f>
              <c:strCache>
                <c:ptCount val="1"/>
                <c:pt idx="0">
                  <c:v>嚴重下限</c:v>
                </c:pt>
              </c:strCache>
            </c:strRef>
          </c:tx>
          <c:spPr>
            <a:solidFill>
              <a:srgbClr val="FFFFC0"/>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水庫操作MT10規線!$E$2:$E$37</c:f>
              <c:numCache>
                <c:formatCode>General</c:formatCode>
                <c:ptCount val="36"/>
                <c:pt idx="0">
                  <c:v>240</c:v>
                </c:pt>
                <c:pt idx="1">
                  <c:v>230</c:v>
                </c:pt>
                <c:pt idx="2">
                  <c:v>220</c:v>
                </c:pt>
                <c:pt idx="3">
                  <c:v>210</c:v>
                </c:pt>
                <c:pt idx="4">
                  <c:v>200</c:v>
                </c:pt>
                <c:pt idx="5">
                  <c:v>190</c:v>
                </c:pt>
                <c:pt idx="6">
                  <c:v>170</c:v>
                </c:pt>
                <c:pt idx="7">
                  <c:v>160</c:v>
                </c:pt>
                <c:pt idx="8">
                  <c:v>150</c:v>
                </c:pt>
                <c:pt idx="9">
                  <c:v>120</c:v>
                </c:pt>
                <c:pt idx="10">
                  <c:v>90</c:v>
                </c:pt>
                <c:pt idx="11">
                  <c:v>80</c:v>
                </c:pt>
                <c:pt idx="12">
                  <c:v>55</c:v>
                </c:pt>
                <c:pt idx="13">
                  <c:v>40</c:v>
                </c:pt>
                <c:pt idx="14">
                  <c:v>30</c:v>
                </c:pt>
                <c:pt idx="15">
                  <c:v>30</c:v>
                </c:pt>
                <c:pt idx="16">
                  <c:v>30</c:v>
                </c:pt>
                <c:pt idx="17">
                  <c:v>40</c:v>
                </c:pt>
                <c:pt idx="18">
                  <c:v>60</c:v>
                </c:pt>
                <c:pt idx="19">
                  <c:v>80</c:v>
                </c:pt>
                <c:pt idx="20">
                  <c:v>105</c:v>
                </c:pt>
                <c:pt idx="21">
                  <c:v>130</c:v>
                </c:pt>
                <c:pt idx="22">
                  <c:v>155</c:v>
                </c:pt>
                <c:pt idx="23">
                  <c:v>180</c:v>
                </c:pt>
                <c:pt idx="24">
                  <c:v>200</c:v>
                </c:pt>
                <c:pt idx="25">
                  <c:v>240</c:v>
                </c:pt>
                <c:pt idx="26">
                  <c:v>280</c:v>
                </c:pt>
                <c:pt idx="27">
                  <c:v>280</c:v>
                </c:pt>
                <c:pt idx="28">
                  <c:v>280</c:v>
                </c:pt>
                <c:pt idx="29">
                  <c:v>280</c:v>
                </c:pt>
                <c:pt idx="30">
                  <c:v>280</c:v>
                </c:pt>
                <c:pt idx="31">
                  <c:v>280</c:v>
                </c:pt>
                <c:pt idx="32">
                  <c:v>280</c:v>
                </c:pt>
                <c:pt idx="33">
                  <c:v>280</c:v>
                </c:pt>
                <c:pt idx="34">
                  <c:v>260</c:v>
                </c:pt>
                <c:pt idx="35">
                  <c:v>250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3"/>
          <c:order val="3"/>
          <c:tx>
            <c:strRef>
              <c:f>水庫操作MT10規線!$C$1</c:f>
              <c:strCache>
                <c:ptCount val="1"/>
                <c:pt idx="0">
                  <c:v>上限</c:v>
                </c:pt>
              </c:strCache>
            </c:strRef>
          </c:tx>
          <c:spPr>
            <a:no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水庫操作MT10規線!$C$2:$C$37</c:f>
              <c:numCache>
                <c:formatCode>General</c:formatCode>
                <c:ptCount val="36"/>
                <c:pt idx="0">
                  <c:v>500</c:v>
                </c:pt>
                <c:pt idx="1">
                  <c:v>480</c:v>
                </c:pt>
                <c:pt idx="2">
                  <c:v>460</c:v>
                </c:pt>
                <c:pt idx="3">
                  <c:v>440</c:v>
                </c:pt>
                <c:pt idx="4">
                  <c:v>420</c:v>
                </c:pt>
                <c:pt idx="5">
                  <c:v>400</c:v>
                </c:pt>
                <c:pt idx="6">
                  <c:v>380</c:v>
                </c:pt>
                <c:pt idx="7">
                  <c:v>360</c:v>
                </c:pt>
                <c:pt idx="8">
                  <c:v>340</c:v>
                </c:pt>
                <c:pt idx="9">
                  <c:v>320</c:v>
                </c:pt>
                <c:pt idx="10">
                  <c:v>300</c:v>
                </c:pt>
                <c:pt idx="11">
                  <c:v>280</c:v>
                </c:pt>
                <c:pt idx="12">
                  <c:v>260</c:v>
                </c:pt>
                <c:pt idx="13">
                  <c:v>240</c:v>
                </c:pt>
                <c:pt idx="14">
                  <c:v>220</c:v>
                </c:pt>
                <c:pt idx="15">
                  <c:v>220</c:v>
                </c:pt>
                <c:pt idx="16">
                  <c:v>220</c:v>
                </c:pt>
                <c:pt idx="17">
                  <c:v>230</c:v>
                </c:pt>
                <c:pt idx="18">
                  <c:v>250</c:v>
                </c:pt>
                <c:pt idx="19">
                  <c:v>300</c:v>
                </c:pt>
                <c:pt idx="20">
                  <c:v>360</c:v>
                </c:pt>
                <c:pt idx="21">
                  <c:v>420</c:v>
                </c:pt>
                <c:pt idx="22">
                  <c:v>460</c:v>
                </c:pt>
                <c:pt idx="23">
                  <c:v>581</c:v>
                </c:pt>
                <c:pt idx="24">
                  <c:v>583</c:v>
                </c:pt>
                <c:pt idx="25">
                  <c:v>583</c:v>
                </c:pt>
                <c:pt idx="26">
                  <c:v>583</c:v>
                </c:pt>
                <c:pt idx="27">
                  <c:v>583</c:v>
                </c:pt>
                <c:pt idx="28">
                  <c:v>583</c:v>
                </c:pt>
                <c:pt idx="29">
                  <c:v>583</c:v>
                </c:pt>
                <c:pt idx="30">
                  <c:v>583</c:v>
                </c:pt>
                <c:pt idx="31">
                  <c:v>580</c:v>
                </c:pt>
                <c:pt idx="32">
                  <c:v>570</c:v>
                </c:pt>
                <c:pt idx="33">
                  <c:v>560</c:v>
                </c:pt>
                <c:pt idx="34">
                  <c:v>540</c:v>
                </c:pt>
                <c:pt idx="35">
                  <c:v>520</c:v>
                </c:pt>
              </c:numCache>
            </c:numRef>
          </c:val>
        </c:ser>
        <c:ser>
          <c:idx val="4"/>
          <c:order val="4"/>
          <c:tx>
            <c:strRef>
              <c:f>水庫操作MT10規線!$D$1</c:f>
              <c:strCache>
                <c:ptCount val="1"/>
                <c:pt idx="0">
                  <c:v>下限</c:v>
                </c:pt>
              </c:strCache>
            </c:strRef>
          </c:tx>
          <c:spPr>
            <a:solidFill>
              <a:srgbClr val="00FFFF"/>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水庫操作MT10規線!$D$2:$D$37</c:f>
              <c:numCache>
                <c:formatCode>General</c:formatCode>
                <c:ptCount val="36"/>
                <c:pt idx="0">
                  <c:v>360</c:v>
                </c:pt>
                <c:pt idx="1">
                  <c:v>350</c:v>
                </c:pt>
                <c:pt idx="2">
                  <c:v>330</c:v>
                </c:pt>
                <c:pt idx="3">
                  <c:v>310</c:v>
                </c:pt>
                <c:pt idx="4">
                  <c:v>280</c:v>
                </c:pt>
                <c:pt idx="5">
                  <c:v>250</c:v>
                </c:pt>
                <c:pt idx="6">
                  <c:v>220</c:v>
                </c:pt>
                <c:pt idx="7">
                  <c:v>190</c:v>
                </c:pt>
                <c:pt idx="8">
                  <c:v>175</c:v>
                </c:pt>
                <c:pt idx="9">
                  <c:v>145</c:v>
                </c:pt>
                <c:pt idx="10">
                  <c:v>115</c:v>
                </c:pt>
                <c:pt idx="11">
                  <c:v>100</c:v>
                </c:pt>
                <c:pt idx="12">
                  <c:v>80</c:v>
                </c:pt>
                <c:pt idx="13">
                  <c:v>65</c:v>
                </c:pt>
                <c:pt idx="14">
                  <c:v>50</c:v>
                </c:pt>
                <c:pt idx="15">
                  <c:v>40</c:v>
                </c:pt>
                <c:pt idx="16">
                  <c:v>50</c:v>
                </c:pt>
                <c:pt idx="17">
                  <c:v>70</c:v>
                </c:pt>
                <c:pt idx="18">
                  <c:v>90</c:v>
                </c:pt>
                <c:pt idx="19">
                  <c:v>120</c:v>
                </c:pt>
                <c:pt idx="20">
                  <c:v>150</c:v>
                </c:pt>
                <c:pt idx="21">
                  <c:v>180</c:v>
                </c:pt>
                <c:pt idx="22">
                  <c:v>210</c:v>
                </c:pt>
                <c:pt idx="23">
                  <c:v>240</c:v>
                </c:pt>
                <c:pt idx="24">
                  <c:v>270</c:v>
                </c:pt>
                <c:pt idx="25">
                  <c:v>300</c:v>
                </c:pt>
                <c:pt idx="26">
                  <c:v>330</c:v>
                </c:pt>
                <c:pt idx="27">
                  <c:v>360</c:v>
                </c:pt>
                <c:pt idx="28">
                  <c:v>360</c:v>
                </c:pt>
                <c:pt idx="29">
                  <c:v>360</c:v>
                </c:pt>
                <c:pt idx="30">
                  <c:v>360</c:v>
                </c:pt>
                <c:pt idx="31">
                  <c:v>360</c:v>
                </c:pt>
                <c:pt idx="32">
                  <c:v>360</c:v>
                </c:pt>
                <c:pt idx="33">
                  <c:v>360</c:v>
                </c:pt>
                <c:pt idx="34">
                  <c:v>360</c:v>
                </c:pt>
                <c:pt idx="35">
                  <c:v>360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5"/>
          <c:order val="5"/>
          <c:tx>
            <c:strRef>
              <c:f>水庫操作MT10規線!$E$1</c:f>
              <c:strCache>
                <c:ptCount val="1"/>
                <c:pt idx="0">
                  <c:v>嚴重下限</c:v>
                </c:pt>
              </c:strCache>
            </c:strRef>
          </c:tx>
          <c:spPr>
            <a:solidFill>
              <a:srgbClr val="FFFFC0"/>
            </a:solid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水庫操作MT10規線!$E$2:$E$37</c:f>
              <c:numCache>
                <c:formatCode>General</c:formatCode>
                <c:ptCount val="36"/>
                <c:pt idx="0">
                  <c:v>240</c:v>
                </c:pt>
                <c:pt idx="1">
                  <c:v>230</c:v>
                </c:pt>
                <c:pt idx="2">
                  <c:v>220</c:v>
                </c:pt>
                <c:pt idx="3">
                  <c:v>210</c:v>
                </c:pt>
                <c:pt idx="4">
                  <c:v>200</c:v>
                </c:pt>
                <c:pt idx="5">
                  <c:v>190</c:v>
                </c:pt>
                <c:pt idx="6">
                  <c:v>170</c:v>
                </c:pt>
                <c:pt idx="7">
                  <c:v>160</c:v>
                </c:pt>
                <c:pt idx="8">
                  <c:v>150</c:v>
                </c:pt>
                <c:pt idx="9">
                  <c:v>120</c:v>
                </c:pt>
                <c:pt idx="10">
                  <c:v>90</c:v>
                </c:pt>
                <c:pt idx="11">
                  <c:v>80</c:v>
                </c:pt>
                <c:pt idx="12">
                  <c:v>55</c:v>
                </c:pt>
                <c:pt idx="13">
                  <c:v>40</c:v>
                </c:pt>
                <c:pt idx="14">
                  <c:v>30</c:v>
                </c:pt>
                <c:pt idx="15">
                  <c:v>30</c:v>
                </c:pt>
                <c:pt idx="16">
                  <c:v>30</c:v>
                </c:pt>
                <c:pt idx="17">
                  <c:v>40</c:v>
                </c:pt>
                <c:pt idx="18">
                  <c:v>60</c:v>
                </c:pt>
                <c:pt idx="19">
                  <c:v>80</c:v>
                </c:pt>
                <c:pt idx="20">
                  <c:v>105</c:v>
                </c:pt>
                <c:pt idx="21">
                  <c:v>130</c:v>
                </c:pt>
                <c:pt idx="22">
                  <c:v>155</c:v>
                </c:pt>
                <c:pt idx="23">
                  <c:v>180</c:v>
                </c:pt>
                <c:pt idx="24">
                  <c:v>200</c:v>
                </c:pt>
                <c:pt idx="25">
                  <c:v>240</c:v>
                </c:pt>
                <c:pt idx="26">
                  <c:v>280</c:v>
                </c:pt>
                <c:pt idx="27">
                  <c:v>280</c:v>
                </c:pt>
                <c:pt idx="28">
                  <c:v>280</c:v>
                </c:pt>
                <c:pt idx="29">
                  <c:v>280</c:v>
                </c:pt>
                <c:pt idx="30">
                  <c:v>280</c:v>
                </c:pt>
                <c:pt idx="31">
                  <c:v>280</c:v>
                </c:pt>
                <c:pt idx="32">
                  <c:v>280</c:v>
                </c:pt>
                <c:pt idx="33">
                  <c:v>280</c:v>
                </c:pt>
                <c:pt idx="34">
                  <c:v>260</c:v>
                </c:pt>
                <c:pt idx="35">
                  <c:v>250</c:v>
                </c:pt>
              </c:numCache>
            </c:numRef>
          </c:val>
          <c:extLst>
            <c:ext xmlns:c14="http://schemas.microsoft.com/office/drawing/2007/8/2/chart" uri="{6F2FDCE9-48DA-4B69-8628-5D25D57E5C99}">
              <c14:invertSolidFillFmt>
                <c14:spPr xmlns:c14="http://schemas.microsoft.com/office/drawing/2007/8/2/chart">
                  <a:solidFill>
                    <a:srgbClr val="FFFFFF"/>
                  </a:solidFill>
                  <a:ln w="12700">
                    <a:solidFill>
                      <a:srgbClr val="000000"/>
                    </a:solidFill>
                    <a:prstDash val="solid"/>
                  </a:ln>
                </c14:spPr>
              </c14:invertSolidFillFmt>
            </c:ext>
          </c:extLst>
        </c:ser>
        <c:ser>
          <c:idx val="0"/>
          <c:order val="0"/>
          <c:tx>
            <c:strRef>
              <c:f>水庫操作MT10規線!$C$1</c:f>
              <c:strCache>
                <c:ptCount val="1"/>
                <c:pt idx="0">
                  <c:v>上限</c:v>
                </c:pt>
              </c:strCache>
            </c:strRef>
          </c:tx>
          <c:spPr>
            <a:no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水庫操作MT10規線!$C$2:$C$37</c:f>
              <c:numCache>
                <c:formatCode>General</c:formatCode>
                <c:ptCount val="36"/>
                <c:pt idx="0">
                  <c:v>500</c:v>
                </c:pt>
                <c:pt idx="1">
                  <c:v>480</c:v>
                </c:pt>
                <c:pt idx="2">
                  <c:v>460</c:v>
                </c:pt>
                <c:pt idx="3">
                  <c:v>440</c:v>
                </c:pt>
                <c:pt idx="4">
                  <c:v>420</c:v>
                </c:pt>
                <c:pt idx="5">
                  <c:v>400</c:v>
                </c:pt>
                <c:pt idx="6">
                  <c:v>380</c:v>
                </c:pt>
                <c:pt idx="7">
                  <c:v>360</c:v>
                </c:pt>
                <c:pt idx="8">
                  <c:v>340</c:v>
                </c:pt>
                <c:pt idx="9">
                  <c:v>320</c:v>
                </c:pt>
                <c:pt idx="10">
                  <c:v>300</c:v>
                </c:pt>
                <c:pt idx="11">
                  <c:v>280</c:v>
                </c:pt>
                <c:pt idx="12">
                  <c:v>260</c:v>
                </c:pt>
                <c:pt idx="13">
                  <c:v>240</c:v>
                </c:pt>
                <c:pt idx="14">
                  <c:v>220</c:v>
                </c:pt>
                <c:pt idx="15">
                  <c:v>220</c:v>
                </c:pt>
                <c:pt idx="16">
                  <c:v>220</c:v>
                </c:pt>
                <c:pt idx="17">
                  <c:v>230</c:v>
                </c:pt>
                <c:pt idx="18">
                  <c:v>250</c:v>
                </c:pt>
                <c:pt idx="19">
                  <c:v>300</c:v>
                </c:pt>
                <c:pt idx="20">
                  <c:v>360</c:v>
                </c:pt>
                <c:pt idx="21">
                  <c:v>420</c:v>
                </c:pt>
                <c:pt idx="22">
                  <c:v>460</c:v>
                </c:pt>
                <c:pt idx="23">
                  <c:v>581</c:v>
                </c:pt>
                <c:pt idx="24">
                  <c:v>583</c:v>
                </c:pt>
                <c:pt idx="25">
                  <c:v>583</c:v>
                </c:pt>
                <c:pt idx="26">
                  <c:v>583</c:v>
                </c:pt>
                <c:pt idx="27">
                  <c:v>583</c:v>
                </c:pt>
                <c:pt idx="28">
                  <c:v>583</c:v>
                </c:pt>
                <c:pt idx="29">
                  <c:v>583</c:v>
                </c:pt>
                <c:pt idx="30">
                  <c:v>583</c:v>
                </c:pt>
                <c:pt idx="31">
                  <c:v>580</c:v>
                </c:pt>
                <c:pt idx="32">
                  <c:v>570</c:v>
                </c:pt>
                <c:pt idx="33">
                  <c:v>560</c:v>
                </c:pt>
                <c:pt idx="34">
                  <c:v>540</c:v>
                </c:pt>
                <c:pt idx="35">
                  <c:v>520</c:v>
                </c:pt>
              </c:numCache>
            </c:numRef>
          </c:val>
        </c:ser>
        <c:ser>
          <c:idx val="1"/>
          <c:order val="1"/>
          <c:tx>
            <c:strRef>
              <c:f>水庫操作MT10規線!$D$1</c:f>
              <c:strCache>
                <c:ptCount val="1"/>
                <c:pt idx="0">
                  <c:v>下限</c:v>
                </c:pt>
              </c:strCache>
            </c:strRef>
          </c:tx>
          <c:spPr>
            <a:no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水庫操作MT10規線!$D$2:$D$37</c:f>
              <c:numCache>
                <c:formatCode>General</c:formatCode>
                <c:ptCount val="36"/>
                <c:pt idx="0">
                  <c:v>360</c:v>
                </c:pt>
                <c:pt idx="1">
                  <c:v>350</c:v>
                </c:pt>
                <c:pt idx="2">
                  <c:v>330</c:v>
                </c:pt>
                <c:pt idx="3">
                  <c:v>310</c:v>
                </c:pt>
                <c:pt idx="4">
                  <c:v>280</c:v>
                </c:pt>
                <c:pt idx="5">
                  <c:v>250</c:v>
                </c:pt>
                <c:pt idx="6">
                  <c:v>220</c:v>
                </c:pt>
                <c:pt idx="7">
                  <c:v>190</c:v>
                </c:pt>
                <c:pt idx="8">
                  <c:v>175</c:v>
                </c:pt>
                <c:pt idx="9">
                  <c:v>145</c:v>
                </c:pt>
                <c:pt idx="10">
                  <c:v>115</c:v>
                </c:pt>
                <c:pt idx="11">
                  <c:v>100</c:v>
                </c:pt>
                <c:pt idx="12">
                  <c:v>80</c:v>
                </c:pt>
                <c:pt idx="13">
                  <c:v>65</c:v>
                </c:pt>
                <c:pt idx="14">
                  <c:v>50</c:v>
                </c:pt>
                <c:pt idx="15">
                  <c:v>40</c:v>
                </c:pt>
                <c:pt idx="16">
                  <c:v>50</c:v>
                </c:pt>
                <c:pt idx="17">
                  <c:v>70</c:v>
                </c:pt>
                <c:pt idx="18">
                  <c:v>90</c:v>
                </c:pt>
                <c:pt idx="19">
                  <c:v>120</c:v>
                </c:pt>
                <c:pt idx="20">
                  <c:v>150</c:v>
                </c:pt>
                <c:pt idx="21">
                  <c:v>180</c:v>
                </c:pt>
                <c:pt idx="22">
                  <c:v>210</c:v>
                </c:pt>
                <c:pt idx="23">
                  <c:v>240</c:v>
                </c:pt>
                <c:pt idx="24">
                  <c:v>270</c:v>
                </c:pt>
                <c:pt idx="25">
                  <c:v>300</c:v>
                </c:pt>
                <c:pt idx="26">
                  <c:v>330</c:v>
                </c:pt>
                <c:pt idx="27">
                  <c:v>360</c:v>
                </c:pt>
                <c:pt idx="28">
                  <c:v>360</c:v>
                </c:pt>
                <c:pt idx="29">
                  <c:v>360</c:v>
                </c:pt>
                <c:pt idx="30">
                  <c:v>360</c:v>
                </c:pt>
                <c:pt idx="31">
                  <c:v>360</c:v>
                </c:pt>
                <c:pt idx="32">
                  <c:v>360</c:v>
                </c:pt>
                <c:pt idx="33">
                  <c:v>360</c:v>
                </c:pt>
                <c:pt idx="34">
                  <c:v>360</c:v>
                </c:pt>
                <c:pt idx="35">
                  <c:v>360</c:v>
                </c:pt>
              </c:numCache>
            </c:numRef>
          </c:val>
        </c:ser>
        <c:ser>
          <c:idx val="2"/>
          <c:order val="2"/>
          <c:tx>
            <c:strRef>
              <c:f>水庫操作MT10規線!$E$1</c:f>
              <c:strCache>
                <c:ptCount val="1"/>
                <c:pt idx="0">
                  <c:v>嚴重下限</c:v>
                </c:pt>
              </c:strCache>
            </c:strRef>
          </c:tx>
          <c:spPr>
            <a:noFill/>
            <a:ln w="12700">
              <a:solidFill>
                <a:srgbClr val="000000"/>
              </a:solidFill>
              <a:prstDash val="solid"/>
            </a:ln>
          </c:spPr>
          <c:invertIfNegative val="1"/>
          <c:cat>
            <c:strRef>
              <c:f>水庫操作MT10規線!$A$2:$A$37</c:f>
              <c:strCache>
                <c:ptCount val="34"/>
                <c:pt idx="0">
                  <c:v>一月</c:v>
                </c:pt>
                <c:pt idx="3">
                  <c:v>二月</c:v>
                </c:pt>
                <c:pt idx="6">
                  <c:v>三月</c:v>
                </c:pt>
                <c:pt idx="9">
                  <c:v>四月</c:v>
                </c:pt>
                <c:pt idx="12">
                  <c:v>五月</c:v>
                </c:pt>
                <c:pt idx="15">
                  <c:v>六月</c:v>
                </c:pt>
                <c:pt idx="18">
                  <c:v>七月</c:v>
                </c:pt>
                <c:pt idx="21">
                  <c:v>八月</c:v>
                </c:pt>
                <c:pt idx="24">
                  <c:v>九月</c:v>
                </c:pt>
                <c:pt idx="27">
                  <c:v>十月</c:v>
                </c:pt>
                <c:pt idx="30">
                  <c:v>十一月</c:v>
                </c:pt>
                <c:pt idx="33">
                  <c:v>十二月</c:v>
                </c:pt>
              </c:strCache>
            </c:strRef>
          </c:cat>
          <c:val>
            <c:numRef>
              <c:f>水庫操作MT10規線!$E$2:$E$37</c:f>
              <c:numCache>
                <c:formatCode>General</c:formatCode>
                <c:ptCount val="36"/>
                <c:pt idx="0">
                  <c:v>240</c:v>
                </c:pt>
                <c:pt idx="1">
                  <c:v>230</c:v>
                </c:pt>
                <c:pt idx="2">
                  <c:v>220</c:v>
                </c:pt>
                <c:pt idx="3">
                  <c:v>210</c:v>
                </c:pt>
                <c:pt idx="4">
                  <c:v>200</c:v>
                </c:pt>
                <c:pt idx="5">
                  <c:v>190</c:v>
                </c:pt>
                <c:pt idx="6">
                  <c:v>170</c:v>
                </c:pt>
                <c:pt idx="7">
                  <c:v>160</c:v>
                </c:pt>
                <c:pt idx="8">
                  <c:v>150</c:v>
                </c:pt>
                <c:pt idx="9">
                  <c:v>120</c:v>
                </c:pt>
                <c:pt idx="10">
                  <c:v>90</c:v>
                </c:pt>
                <c:pt idx="11">
                  <c:v>80</c:v>
                </c:pt>
                <c:pt idx="12">
                  <c:v>55</c:v>
                </c:pt>
                <c:pt idx="13">
                  <c:v>40</c:v>
                </c:pt>
                <c:pt idx="14">
                  <c:v>30</c:v>
                </c:pt>
                <c:pt idx="15">
                  <c:v>30</c:v>
                </c:pt>
                <c:pt idx="16">
                  <c:v>30</c:v>
                </c:pt>
                <c:pt idx="17">
                  <c:v>40</c:v>
                </c:pt>
                <c:pt idx="18">
                  <c:v>60</c:v>
                </c:pt>
                <c:pt idx="19">
                  <c:v>80</c:v>
                </c:pt>
                <c:pt idx="20">
                  <c:v>105</c:v>
                </c:pt>
                <c:pt idx="21">
                  <c:v>130</c:v>
                </c:pt>
                <c:pt idx="22">
                  <c:v>155</c:v>
                </c:pt>
                <c:pt idx="23">
                  <c:v>180</c:v>
                </c:pt>
                <c:pt idx="24">
                  <c:v>200</c:v>
                </c:pt>
                <c:pt idx="25">
                  <c:v>240</c:v>
                </c:pt>
                <c:pt idx="26">
                  <c:v>280</c:v>
                </c:pt>
                <c:pt idx="27">
                  <c:v>280</c:v>
                </c:pt>
                <c:pt idx="28">
                  <c:v>280</c:v>
                </c:pt>
                <c:pt idx="29">
                  <c:v>280</c:v>
                </c:pt>
                <c:pt idx="30">
                  <c:v>280</c:v>
                </c:pt>
                <c:pt idx="31">
                  <c:v>280</c:v>
                </c:pt>
                <c:pt idx="32">
                  <c:v>280</c:v>
                </c:pt>
                <c:pt idx="33">
                  <c:v>280</c:v>
                </c:pt>
                <c:pt idx="34">
                  <c:v>260</c:v>
                </c:pt>
                <c:pt idx="35">
                  <c:v>250</c:v>
                </c:pt>
              </c:numCache>
            </c:numRef>
          </c:val>
        </c:ser>
        <c:dLbls>
          <c:showLegendKey val="0"/>
          <c:showVal val="0"/>
          <c:showCatName val="0"/>
          <c:showSerName val="0"/>
          <c:showPercent val="0"/>
          <c:showBubbleSize val="0"/>
        </c:dLbls>
        <c:gapWidth val="0"/>
        <c:overlap val="100"/>
        <c:axId val="213247872"/>
        <c:axId val="213250048"/>
      </c:barChart>
      <c:catAx>
        <c:axId val="213247872"/>
        <c:scaling>
          <c:orientation val="minMax"/>
        </c:scaling>
        <c:delete val="1"/>
        <c:axPos val="b"/>
        <c:title>
          <c:tx>
            <c:rich>
              <a:bodyPr/>
              <a:lstStyle/>
              <a:p>
                <a:pPr>
                  <a:defRPr sz="1000" b="0" i="0" u="none" strike="noStrike" baseline="0">
                    <a:solidFill>
                      <a:srgbClr val="000000"/>
                    </a:solidFill>
                    <a:latin typeface="標楷體"/>
                    <a:ea typeface="標楷體"/>
                    <a:cs typeface="標楷體"/>
                  </a:defRPr>
                </a:pPr>
                <a:r>
                  <a:rPr lang="zh-TW" altLang="en-US" sz="1000"/>
                  <a:t>上限</a:t>
                </a:r>
                <a:endParaRPr lang="en-US" altLang="zh-TW" sz="1000"/>
              </a:p>
            </c:rich>
          </c:tx>
          <c:layout>
            <c:manualLayout>
              <c:xMode val="edge"/>
              <c:yMode val="edge"/>
              <c:x val="0.79861963450537332"/>
              <c:y val="6.4167189108666006E-2"/>
            </c:manualLayout>
          </c:layout>
          <c:overlay val="1"/>
          <c:spPr>
            <a:noFill/>
            <a:ln w="25400">
              <a:noFill/>
            </a:ln>
          </c:spPr>
        </c:title>
        <c:numFmt formatCode="General" sourceLinked="1"/>
        <c:majorTickMark val="in"/>
        <c:minorTickMark val="cross"/>
        <c:tickLblPos val="nextTo"/>
        <c:crossAx val="213250048"/>
        <c:crosses val="autoZero"/>
        <c:auto val="1"/>
        <c:lblAlgn val="ctr"/>
        <c:lblOffset val="100"/>
        <c:tickLblSkip val="2"/>
        <c:tickMarkSkip val="12"/>
        <c:noMultiLvlLbl val="1"/>
      </c:catAx>
      <c:valAx>
        <c:axId val="213250048"/>
        <c:scaling>
          <c:orientation val="minMax"/>
        </c:scaling>
        <c:delete val="1"/>
        <c:axPos val="l"/>
        <c:majorGridlines>
          <c:spPr>
            <a:ln w="9525">
              <a:solidFill>
                <a:sysClr val="windowText" lastClr="000000">
                  <a:tint val="75000"/>
                  <a:shade val="95000"/>
                  <a:satMod val="105000"/>
                </a:sysClr>
              </a:solidFill>
              <a:prstDash val="sysDot"/>
            </a:ln>
          </c:spPr>
        </c:majorGridlines>
        <c:title>
          <c:tx>
            <c:rich>
              <a:bodyPr/>
              <a:lstStyle/>
              <a:p>
                <a:pPr>
                  <a:defRPr sz="1200" b="0" i="0" u="none" strike="noStrike" baseline="0">
                    <a:solidFill>
                      <a:srgbClr val="000000"/>
                    </a:solidFill>
                    <a:latin typeface="新細明體"/>
                    <a:ea typeface="新細明體"/>
                    <a:cs typeface="新細明體"/>
                  </a:defRPr>
                </a:pPr>
                <a:r>
                  <a:rPr lang="zh-TW" altLang="en-US" sz="1000" b="0" i="0" u="none" strike="noStrike" baseline="0">
                    <a:solidFill>
                      <a:srgbClr val="000000"/>
                    </a:solidFill>
                    <a:latin typeface="標楷體"/>
                    <a:ea typeface="標楷體"/>
                  </a:rPr>
                  <a:t>水庫蓄水量</a:t>
                </a:r>
                <a:r>
                  <a:rPr lang="en-US" altLang="zh-TW" sz="800" b="0" i="0" u="none" strike="noStrike" baseline="0">
                    <a:solidFill>
                      <a:srgbClr val="000000"/>
                    </a:solidFill>
                    <a:latin typeface="標楷體"/>
                    <a:ea typeface="標楷體"/>
                  </a:rPr>
                  <a:t>(</a:t>
                </a:r>
                <a:r>
                  <a:rPr lang="zh-TW" altLang="en-US" sz="800" b="0" i="0" u="none" strike="noStrike" baseline="0">
                    <a:solidFill>
                      <a:srgbClr val="000000"/>
                    </a:solidFill>
                    <a:latin typeface="標楷體"/>
                    <a:ea typeface="標楷體"/>
                  </a:rPr>
                  <a:t>百萬立方公尺</a:t>
                </a:r>
                <a:r>
                  <a:rPr lang="en-US" altLang="zh-TW" sz="800" b="0" i="0" u="none" strike="noStrike" baseline="0">
                    <a:solidFill>
                      <a:srgbClr val="000000"/>
                    </a:solidFill>
                    <a:latin typeface="標楷體"/>
                    <a:ea typeface="標楷體"/>
                  </a:rPr>
                  <a:t>)</a:t>
                </a:r>
              </a:p>
            </c:rich>
          </c:tx>
          <c:layout>
            <c:manualLayout>
              <c:xMode val="edge"/>
              <c:yMode val="edge"/>
              <c:x val="9.7555270894700268E-3"/>
              <c:y val="7.5381265082282059E-2"/>
            </c:manualLayout>
          </c:layout>
          <c:overlay val="1"/>
          <c:spPr>
            <a:noFill/>
            <a:ln w="25400">
              <a:noFill/>
            </a:ln>
          </c:spPr>
        </c:title>
        <c:numFmt formatCode="General" sourceLinked="1"/>
        <c:majorTickMark val="in"/>
        <c:minorTickMark val="cross"/>
        <c:tickLblPos val="nextTo"/>
        <c:crossAx val="213247872"/>
        <c:crosses val="autoZero"/>
        <c:crossBetween val="between"/>
      </c:valAx>
      <c:spPr>
        <a:solidFill>
          <a:srgbClr val="FFFFFF"/>
        </a:solidFill>
        <a:ln w="25400">
          <a:solidFill>
            <a:schemeClr val="tx1"/>
          </a:solidFill>
          <a:prstDash val="solid"/>
        </a:ln>
      </c:spPr>
    </c:plotArea>
    <c:plotVisOnly val="1"/>
    <c:dispBlanksAs val="gap"/>
    <c:showDLblsOverMax val="1"/>
  </c:chart>
  <c:spPr>
    <a:solidFill>
      <a:srgbClr val="FFFFFF"/>
    </a:solidFill>
    <a:ln w="12700">
      <a:noFill/>
      <a:prstDash val="solid"/>
    </a:ln>
    <a:effectLst>
      <a:outerShdw dist="35921" dir="2700000" algn="br">
        <a:schemeClr val="bg1"/>
      </a:outerShdw>
    </a:effectLst>
  </c:spPr>
  <c:txPr>
    <a:bodyPr/>
    <a:lstStyle/>
    <a:p>
      <a:pPr>
        <a:defRPr sz="1000" b="0" i="0" u="none" strike="noStrike" baseline="0">
          <a:solidFill>
            <a:srgbClr val="000000"/>
          </a:solidFill>
          <a:latin typeface="Arial"/>
          <a:ea typeface="Arial"/>
          <a:cs typeface="Arial"/>
        </a:defRPr>
      </a:pPr>
      <a:endParaRPr lang="zh-TW"/>
    </a:p>
  </c:txPr>
  <c:externalData r:id="rId1">
    <c:autoUpdate val="1"/>
  </c:externalData>
  <c:userShapes r:id="rId2"/>
</c:chartSpace>
</file>

<file path=word/drawings/drawing1.xml><?xml version="1.0" encoding="utf-8"?>
<c:userShapes xmlns:c="http://schemas.openxmlformats.org/drawingml/2006/chart">
  <cdr:relSizeAnchor xmlns:cdr="http://schemas.openxmlformats.org/drawingml/2006/chartDrawing">
    <cdr:from>
      <cdr:x>0.40449</cdr:x>
      <cdr:y>0.11877</cdr:y>
    </cdr:from>
    <cdr:to>
      <cdr:x>0.40449</cdr:x>
      <cdr:y>0.11877</cdr:y>
    </cdr:to>
    <cdr:sp macro="" textlink="">
      <cdr:nvSpPr>
        <cdr:cNvPr id="19469"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19487"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19492"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19495"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19502"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2"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3"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4"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5"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6"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7"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8"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9"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10"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11"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12"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13"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14"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15"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16"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17"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18"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19"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20"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21"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22"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23"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24"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25"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26"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27"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28"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29"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30"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31"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0.40449</cdr:x>
      <cdr:y>0.11877</cdr:y>
    </cdr:from>
    <cdr:to>
      <cdr:x>0.40449</cdr:x>
      <cdr:y>0.11877</cdr:y>
    </cdr:to>
    <cdr:sp macro="" textlink="">
      <cdr:nvSpPr>
        <cdr:cNvPr id="19488" name="文字 1"/>
        <cdr:cNvSpPr txBox="1">
          <a:spLocks xmlns:a="http://schemas.openxmlformats.org/drawingml/2006/main" noChangeArrowheads="1"/>
        </cdr:cNvSpPr>
      </cdr:nvSpPr>
      <cdr:spPr bwMode="auto">
        <a:xfrm xmlns:a="http://schemas.openxmlformats.org/drawingml/2006/main">
          <a:off x="2112105" y="2095275"/>
          <a:ext cx="0" cy="0"/>
        </a:xfrm>
        <a:prstGeom xmlns:a="http://schemas.openxmlformats.org/drawingml/2006/main" prst="rect">
          <a:avLst/>
        </a:prstGeom>
        <a:noFill xmlns:a="http://schemas.openxmlformats.org/drawingml/2006/main"/>
        <a:ln xmlns:a="http://schemas.openxmlformats.org/drawingml/2006/main" w="1">
          <a:noFill/>
          <a:miter lim="800000"/>
          <a:headEnd/>
          <a:tailEnd/>
        </a:ln>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0.29047</cdr:x>
      <cdr:y>0.16701</cdr:y>
    </cdr:from>
    <cdr:to>
      <cdr:x>0.37519</cdr:x>
      <cdr:y>0.23137</cdr:y>
    </cdr:to>
    <cdr:sp macro="" textlink="">
      <cdr:nvSpPr>
        <cdr:cNvPr id="19489" name="Line 1055"/>
        <cdr:cNvSpPr>
          <a:spLocks xmlns:a="http://schemas.openxmlformats.org/drawingml/2006/main" noChangeShapeType="1"/>
        </cdr:cNvSpPr>
      </cdr:nvSpPr>
      <cdr:spPr bwMode="auto">
        <a:xfrm xmlns:a="http://schemas.openxmlformats.org/drawingml/2006/main">
          <a:off x="1240996" y="2605805"/>
          <a:ext cx="647748" cy="684628"/>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0.36336</cdr:x>
      <cdr:y>0.05911</cdr:y>
    </cdr:from>
    <cdr:to>
      <cdr:x>0.43922</cdr:x>
      <cdr:y>0.11505</cdr:y>
    </cdr:to>
    <cdr:sp macro="" textlink="">
      <cdr:nvSpPr>
        <cdr:cNvPr id="19490" name="Line 1060"/>
        <cdr:cNvSpPr>
          <a:spLocks xmlns:a="http://schemas.openxmlformats.org/drawingml/2006/main" noChangeShapeType="1"/>
        </cdr:cNvSpPr>
      </cdr:nvSpPr>
      <cdr:spPr bwMode="auto">
        <a:xfrm xmlns:a="http://schemas.openxmlformats.org/drawingml/2006/main">
          <a:off x="1794613" y="1591802"/>
          <a:ext cx="580739" cy="458772"/>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0.30302</cdr:x>
      <cdr:y>0.17915</cdr:y>
    </cdr:from>
    <cdr:to>
      <cdr:x>0.33036</cdr:x>
      <cdr:y>0.30436</cdr:y>
    </cdr:to>
    <cdr:sp macro="" textlink="">
      <cdr:nvSpPr>
        <cdr:cNvPr id="19491" name="Line 1063"/>
        <cdr:cNvSpPr>
          <a:spLocks xmlns:a="http://schemas.openxmlformats.org/drawingml/2006/main" noChangeShapeType="1"/>
        </cdr:cNvSpPr>
      </cdr:nvSpPr>
      <cdr:spPr bwMode="auto">
        <a:xfrm xmlns:a="http://schemas.openxmlformats.org/drawingml/2006/main">
          <a:off x="1336723" y="2735202"/>
          <a:ext cx="205811" cy="1333967"/>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0.57295</cdr:x>
      <cdr:y>0.26577</cdr:y>
    </cdr:from>
    <cdr:to>
      <cdr:x>0.72518</cdr:x>
      <cdr:y>0.40039</cdr:y>
    </cdr:to>
    <cdr:sp macro="" textlink="">
      <cdr:nvSpPr>
        <cdr:cNvPr id="19493" name="Line 1070"/>
        <cdr:cNvSpPr>
          <a:spLocks xmlns:a="http://schemas.openxmlformats.org/drawingml/2006/main" noChangeShapeType="1"/>
        </cdr:cNvSpPr>
      </cdr:nvSpPr>
      <cdr:spPr bwMode="auto">
        <a:xfrm xmlns:a="http://schemas.openxmlformats.org/drawingml/2006/main" flipH="1">
          <a:off x="3396432" y="3657451"/>
          <a:ext cx="1166265" cy="1432779"/>
        </a:xfrm>
        <a:prstGeom xmlns:a="http://schemas.openxmlformats.org/drawingml/2006/main" prst="line">
          <a:avLst/>
        </a:prstGeom>
        <a:noFill xmlns:a="http://schemas.openxmlformats.org/drawingml/2006/main"/>
        <a:ln xmlns:a="http://schemas.openxmlformats.org/drawingml/2006/main" w="9525">
          <a:noFill/>
          <a:round/>
          <a:headEnd/>
          <a:tailEnd type="triangle" w="med" len="med"/>
        </a:ln>
        <a:effectLst xmlns:a="http://schemas.openxmlformats.org/drawingml/2006/main">
          <a:outerShdw dist="35921" dir="2700000" algn="ctr" rotWithShape="0">
            <a:srgbClr val="000000"/>
          </a:outerShdw>
        </a:effectLst>
      </cdr:spPr>
      <cdr:txBody>
        <a:bodyPr xmlns:a="http://schemas.openxmlformats.org/drawingml/2006/main"/>
        <a:lstStyle xmlns:a="http://schemas.openxmlformats.org/drawingml/2006/main"/>
        <a:p xmlns:a="http://schemas.openxmlformats.org/drawingml/2006/main">
          <a:endParaRPr lang="zh-TW" altLang="en-US"/>
        </a:p>
      </cdr:txBody>
    </cdr:sp>
  </cdr:relSizeAnchor>
  <cdr:relSizeAnchor xmlns:cdr="http://schemas.openxmlformats.org/drawingml/2006/chartDrawing">
    <cdr:from>
      <cdr:x>0.78986</cdr:x>
      <cdr:y>0.39174</cdr:y>
    </cdr:from>
    <cdr:to>
      <cdr:x>0.8917</cdr:x>
      <cdr:y>0.4755</cdr:y>
    </cdr:to>
    <cdr:sp macro="" textlink="">
      <cdr:nvSpPr>
        <cdr:cNvPr id="42" name="文字方塊 41"/>
        <cdr:cNvSpPr txBox="1"/>
      </cdr:nvSpPr>
      <cdr:spPr>
        <a:xfrm xmlns:a="http://schemas.openxmlformats.org/drawingml/2006/main">
          <a:off x="4288347" y="1296253"/>
          <a:ext cx="552926" cy="2771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zh-TW" altLang="en-US" sz="1000">
              <a:latin typeface="標楷體" pitchFamily="65" charset="-120"/>
              <a:ea typeface="標楷體" pitchFamily="65" charset="-120"/>
            </a:rPr>
            <a:t>下限</a:t>
          </a:r>
        </a:p>
      </cdr:txBody>
    </cdr:sp>
  </cdr:relSizeAnchor>
  <cdr:relSizeAnchor xmlns:cdr="http://schemas.openxmlformats.org/drawingml/2006/chartDrawing">
    <cdr:from>
      <cdr:x>0.79161</cdr:x>
      <cdr:y>0.49073</cdr:y>
    </cdr:from>
    <cdr:to>
      <cdr:x>0.92447</cdr:x>
      <cdr:y>0.5745</cdr:y>
    </cdr:to>
    <cdr:sp macro="" textlink="">
      <cdr:nvSpPr>
        <cdr:cNvPr id="43" name="文字方塊 1"/>
        <cdr:cNvSpPr txBox="1"/>
      </cdr:nvSpPr>
      <cdr:spPr>
        <a:xfrm xmlns:a="http://schemas.openxmlformats.org/drawingml/2006/main">
          <a:off x="4297872" y="1623810"/>
          <a:ext cx="721331" cy="27719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zh-TW" altLang="en-US" sz="1000">
              <a:latin typeface="標楷體" pitchFamily="65" charset="-120"/>
              <a:ea typeface="標楷體" pitchFamily="65" charset="-120"/>
            </a:rPr>
            <a:t>嚴重下限</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1955</Words>
  <Characters>11144</Characters>
  <Application>Microsoft Office Word</Application>
  <DocSecurity>0</DocSecurity>
  <Lines>92</Lines>
  <Paragraphs>26</Paragraphs>
  <ScaleCrop>false</ScaleCrop>
  <Company/>
  <LinksUpToDate>false</LinksUpToDate>
  <CharactersWithSpaces>13073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兼顧環境流量之跨流域水資源運用</dc:title>
  <dc:creator>user</dc:creator>
  <cp:lastModifiedBy>user</cp:lastModifiedBy>
  <cp:revision>3</cp:revision>
  <cp:lastPrinted>2010-09-19T12:35:00Z</cp:lastPrinted>
  <dcterms:created xsi:type="dcterms:W3CDTF">2015-08-17T08:03:00Z</dcterms:created>
  <dcterms:modified xsi:type="dcterms:W3CDTF">2015-08-18T09:07:00Z</dcterms:modified>
</cp:coreProperties>
</file>